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FE1D2" w14:textId="4A7CD9C5" w:rsidR="00F476BE" w:rsidRDefault="00C94DAB">
      <w:pPr>
        <w:spacing w:line="240" w:lineRule="auto"/>
        <w:rPr>
          <w:b/>
          <w:sz w:val="30"/>
          <w:szCs w:val="30"/>
        </w:rPr>
      </w:pPr>
      <w:proofErr w:type="spellStart"/>
      <w:r w:rsidRPr="00C94DAB">
        <w:rPr>
          <w:b/>
          <w:sz w:val="30"/>
          <w:szCs w:val="30"/>
        </w:rPr>
        <w:t>Elanco</w:t>
      </w:r>
      <w:proofErr w:type="spellEnd"/>
      <w:r w:rsidRPr="00C94DAB">
        <w:rPr>
          <w:b/>
          <w:sz w:val="30"/>
          <w:szCs w:val="30"/>
        </w:rPr>
        <w:t xml:space="preserve"> lanza un ciclo de conferencias sobre parasitosis</w:t>
      </w:r>
      <w:r w:rsidR="00ED5919" w:rsidRPr="00C94DAB">
        <w:rPr>
          <w:b/>
          <w:sz w:val="30"/>
          <w:szCs w:val="30"/>
        </w:rPr>
        <w:t xml:space="preserve"> </w:t>
      </w:r>
      <w:r w:rsidR="00ED5919">
        <w:rPr>
          <w:b/>
          <w:sz w:val="30"/>
          <w:szCs w:val="30"/>
        </w:rPr>
        <w:t xml:space="preserve">dirigido a veterinarios </w:t>
      </w:r>
      <w:r w:rsidR="007F537F">
        <w:rPr>
          <w:b/>
          <w:sz w:val="30"/>
          <w:szCs w:val="30"/>
        </w:rPr>
        <w:t>en España y Portugal</w:t>
      </w:r>
      <w:r w:rsidR="00D1564B">
        <w:rPr>
          <w:b/>
          <w:sz w:val="30"/>
          <w:szCs w:val="30"/>
        </w:rPr>
        <w:t>, c</w:t>
      </w:r>
      <w:r w:rsidR="00D1564B" w:rsidRPr="00C94DAB">
        <w:rPr>
          <w:b/>
          <w:sz w:val="30"/>
          <w:szCs w:val="30"/>
        </w:rPr>
        <w:t>on el humor como aliado</w:t>
      </w:r>
      <w:r w:rsidR="00D1564B">
        <w:rPr>
          <w:b/>
          <w:sz w:val="30"/>
          <w:szCs w:val="30"/>
        </w:rPr>
        <w:t>.</w:t>
      </w:r>
    </w:p>
    <w:p w14:paraId="33194C63" w14:textId="4514E48E" w:rsidR="00F476BE" w:rsidRDefault="007F537F" w:rsidP="00ED5919">
      <w:pPr>
        <w:pStyle w:val="Prrafodelista"/>
        <w:numPr>
          <w:ilvl w:val="0"/>
          <w:numId w:val="2"/>
        </w:numPr>
        <w:spacing w:line="240" w:lineRule="auto"/>
        <w:jc w:val="both"/>
        <w:rPr>
          <w:b/>
          <w:sz w:val="21"/>
          <w:szCs w:val="21"/>
        </w:rPr>
      </w:pPr>
      <w:r>
        <w:rPr>
          <w:b/>
          <w:sz w:val="21"/>
          <w:szCs w:val="21"/>
        </w:rPr>
        <w:t>Estas</w:t>
      </w:r>
      <w:r w:rsidR="00ED5919" w:rsidRPr="007F537F">
        <w:rPr>
          <w:b/>
          <w:sz w:val="21"/>
          <w:szCs w:val="21"/>
        </w:rPr>
        <w:t xml:space="preserve"> sesiones formativas en antiparasitarios, lideradas por los reconocidos expertos Guadalupe Miró y Alberto Montoya, recorrerán 10 ciudades de la península ibérica e islas con un enfoque innovador, alcanzando a más de 600 profesionales veterinarios.</w:t>
      </w:r>
    </w:p>
    <w:p w14:paraId="23FF7B4A" w14:textId="77777777" w:rsidR="007F537F" w:rsidRPr="007F537F" w:rsidRDefault="007F537F" w:rsidP="007F537F">
      <w:pPr>
        <w:pStyle w:val="Prrafodelista"/>
        <w:spacing w:line="240" w:lineRule="auto"/>
        <w:jc w:val="both"/>
        <w:rPr>
          <w:b/>
          <w:sz w:val="21"/>
          <w:szCs w:val="21"/>
        </w:rPr>
      </w:pPr>
    </w:p>
    <w:p w14:paraId="6AB1AAC5" w14:textId="1B2A0A03" w:rsidR="00C94DAB" w:rsidRDefault="00C94DAB" w:rsidP="00C94DAB">
      <w:pPr>
        <w:spacing w:line="240" w:lineRule="auto"/>
        <w:jc w:val="both"/>
        <w:rPr>
          <w:sz w:val="21"/>
          <w:szCs w:val="21"/>
        </w:rPr>
      </w:pPr>
      <w:r w:rsidRPr="007F537F">
        <w:rPr>
          <w:b/>
          <w:sz w:val="21"/>
          <w:szCs w:val="21"/>
        </w:rPr>
        <w:t>Madrid, junio de 2025. –</w:t>
      </w:r>
      <w:r w:rsidR="00E04B17" w:rsidRPr="007F537F">
        <w:rPr>
          <w:sz w:val="21"/>
          <w:szCs w:val="21"/>
        </w:rPr>
        <w:t xml:space="preserve"> </w:t>
      </w:r>
      <w:proofErr w:type="spellStart"/>
      <w:r w:rsidRPr="007F537F">
        <w:rPr>
          <w:sz w:val="21"/>
          <w:szCs w:val="21"/>
        </w:rPr>
        <w:t>Elanco</w:t>
      </w:r>
      <w:proofErr w:type="spellEnd"/>
      <w:r w:rsidRPr="007F537F">
        <w:rPr>
          <w:sz w:val="21"/>
          <w:szCs w:val="21"/>
        </w:rPr>
        <w:t xml:space="preserve"> Animal </w:t>
      </w:r>
      <w:proofErr w:type="spellStart"/>
      <w:r w:rsidRPr="007F537F">
        <w:rPr>
          <w:sz w:val="21"/>
          <w:szCs w:val="21"/>
        </w:rPr>
        <w:t>Health</w:t>
      </w:r>
      <w:proofErr w:type="spellEnd"/>
      <w:r w:rsidRPr="007F537F">
        <w:rPr>
          <w:sz w:val="21"/>
          <w:szCs w:val="21"/>
        </w:rPr>
        <w:t>, compañía líder en salud animal y experta en antiparasitarios, ha puesto en marcha un ciclo de conferencias presenciales bajo el nombre “Contra los parásitos, Stand Up!”, con el objetivo de actualizar conocimientos sobre parasitosis en animales de compañía y seguir reforzando la importancia de la desparasitación entre los profesionales veterinarios de España y Portugal.</w:t>
      </w:r>
    </w:p>
    <w:p w14:paraId="1062D713" w14:textId="23686C2A" w:rsidR="007F537F" w:rsidRPr="007F537F" w:rsidRDefault="007F537F" w:rsidP="00C94DAB">
      <w:pPr>
        <w:spacing w:line="240" w:lineRule="auto"/>
        <w:jc w:val="both"/>
        <w:rPr>
          <w:sz w:val="21"/>
          <w:szCs w:val="21"/>
        </w:rPr>
      </w:pPr>
      <w:r w:rsidRPr="007F537F">
        <w:rPr>
          <w:b/>
          <w:sz w:val="21"/>
          <w:szCs w:val="21"/>
        </w:rPr>
        <w:t>“Contra los parásitos, Stand Up!”</w:t>
      </w:r>
      <w:r>
        <w:rPr>
          <w:b/>
          <w:sz w:val="21"/>
          <w:szCs w:val="21"/>
        </w:rPr>
        <w:t>:</w:t>
      </w:r>
      <w:r w:rsidRPr="007F537F">
        <w:rPr>
          <w:b/>
          <w:sz w:val="21"/>
          <w:szCs w:val="21"/>
        </w:rPr>
        <w:t xml:space="preserve"> formaci</w:t>
      </w:r>
      <w:r>
        <w:rPr>
          <w:b/>
          <w:sz w:val="21"/>
          <w:szCs w:val="21"/>
        </w:rPr>
        <w:t>ón</w:t>
      </w:r>
      <w:r w:rsidRPr="007F537F">
        <w:rPr>
          <w:b/>
          <w:sz w:val="21"/>
          <w:szCs w:val="21"/>
        </w:rPr>
        <w:t xml:space="preserve"> antiparasitaria con mucha “chispa”</w:t>
      </w:r>
    </w:p>
    <w:p w14:paraId="3AAB0C1A" w14:textId="720C6CBB" w:rsidR="007F537F" w:rsidRDefault="007F537F" w:rsidP="007F537F">
      <w:pPr>
        <w:spacing w:line="240" w:lineRule="auto"/>
        <w:jc w:val="both"/>
        <w:rPr>
          <w:sz w:val="21"/>
          <w:szCs w:val="21"/>
        </w:rPr>
      </w:pPr>
      <w:r w:rsidRPr="007F537F">
        <w:rPr>
          <w:sz w:val="21"/>
          <w:szCs w:val="21"/>
        </w:rPr>
        <w:t xml:space="preserve">Siguiendo el enfoque innovador que caracteriza a </w:t>
      </w:r>
      <w:proofErr w:type="spellStart"/>
      <w:r w:rsidRPr="007F537F">
        <w:rPr>
          <w:sz w:val="21"/>
          <w:szCs w:val="21"/>
        </w:rPr>
        <w:t>Elanco</w:t>
      </w:r>
      <w:proofErr w:type="spellEnd"/>
      <w:r w:rsidRPr="007F537F">
        <w:rPr>
          <w:sz w:val="21"/>
          <w:szCs w:val="21"/>
        </w:rPr>
        <w:t>, las sesiones formativas han sido diseñadas con</w:t>
      </w:r>
      <w:r>
        <w:rPr>
          <w:sz w:val="21"/>
          <w:szCs w:val="21"/>
        </w:rPr>
        <w:t xml:space="preserve"> el humor como aliado</w:t>
      </w:r>
      <w:r w:rsidRPr="007F537F">
        <w:rPr>
          <w:sz w:val="21"/>
          <w:szCs w:val="21"/>
        </w:rPr>
        <w:t>, en un formato teatral y escénico, inspirado en la campaña “La bromita de los parásitos”, lanzada por la compañía a principios de este año. Las conferencias se inician con la participación de humoristas profesionales, que ayudan a crear un ambiente cercano y distendido para abordar con rigor un tema tan relevante como la salud parasitaria.</w:t>
      </w:r>
    </w:p>
    <w:p w14:paraId="44584D50" w14:textId="0A951419" w:rsidR="007F537F" w:rsidRPr="007F537F" w:rsidRDefault="007F537F" w:rsidP="007F537F">
      <w:pPr>
        <w:spacing w:line="240" w:lineRule="auto"/>
        <w:jc w:val="both"/>
        <w:rPr>
          <w:sz w:val="21"/>
          <w:szCs w:val="21"/>
        </w:rPr>
      </w:pPr>
      <w:r>
        <w:rPr>
          <w:sz w:val="21"/>
          <w:szCs w:val="21"/>
        </w:rPr>
        <w:t>El ciclo formativo está</w:t>
      </w:r>
      <w:r w:rsidRPr="007F537F">
        <w:rPr>
          <w:sz w:val="21"/>
          <w:szCs w:val="21"/>
        </w:rPr>
        <w:t xml:space="preserve"> liderad</w:t>
      </w:r>
      <w:r>
        <w:rPr>
          <w:sz w:val="21"/>
          <w:szCs w:val="21"/>
        </w:rPr>
        <w:t>o</w:t>
      </w:r>
      <w:r w:rsidRPr="007F537F">
        <w:rPr>
          <w:sz w:val="21"/>
          <w:szCs w:val="21"/>
        </w:rPr>
        <w:t xml:space="preserve"> por dos grandes referentes del sector: la Dra. Guadalupe Miró y el Dr. Alberto Montoya, especialistas en parasitología veterinaria, quienes abordan temas clave como pulgas, garrapatas, gusanos pulmonares, filarias y enfermedades </w:t>
      </w:r>
      <w:proofErr w:type="spellStart"/>
      <w:r w:rsidRPr="007F537F">
        <w:rPr>
          <w:sz w:val="21"/>
          <w:szCs w:val="21"/>
        </w:rPr>
        <w:t>zoonóticas</w:t>
      </w:r>
      <w:proofErr w:type="spellEnd"/>
      <w:r w:rsidRPr="007F537F">
        <w:rPr>
          <w:sz w:val="21"/>
          <w:szCs w:val="21"/>
        </w:rPr>
        <w:t xml:space="preserve"> y endémicas, adaptadas a la realidad epidemiológica de cada zona.</w:t>
      </w:r>
    </w:p>
    <w:p w14:paraId="0B89CE36" w14:textId="3243025A" w:rsidR="00C94DAB" w:rsidRPr="007F537F" w:rsidRDefault="00C94DAB" w:rsidP="00C94DAB">
      <w:pPr>
        <w:spacing w:line="240" w:lineRule="auto"/>
        <w:jc w:val="both"/>
        <w:rPr>
          <w:sz w:val="21"/>
          <w:szCs w:val="21"/>
        </w:rPr>
      </w:pPr>
      <w:r w:rsidRPr="007F537F">
        <w:rPr>
          <w:sz w:val="21"/>
          <w:szCs w:val="21"/>
        </w:rPr>
        <w:t>Estas conferencias, que se celebran entre marzo y junio de 2025</w:t>
      </w:r>
      <w:r w:rsidR="00ED5919" w:rsidRPr="007F537F">
        <w:rPr>
          <w:sz w:val="21"/>
          <w:szCs w:val="21"/>
        </w:rPr>
        <w:t>, recorrerán 10 ciudades de la p</w:t>
      </w:r>
      <w:r w:rsidRPr="007F537F">
        <w:rPr>
          <w:sz w:val="21"/>
          <w:szCs w:val="21"/>
        </w:rPr>
        <w:t>enínsula</w:t>
      </w:r>
      <w:r w:rsidR="00ED5919" w:rsidRPr="007F537F">
        <w:rPr>
          <w:sz w:val="21"/>
          <w:szCs w:val="21"/>
        </w:rPr>
        <w:t xml:space="preserve"> ibérica</w:t>
      </w:r>
      <w:r w:rsidRPr="007F537F">
        <w:rPr>
          <w:sz w:val="21"/>
          <w:szCs w:val="21"/>
        </w:rPr>
        <w:t xml:space="preserve"> y </w:t>
      </w:r>
      <w:r w:rsidR="000C302C" w:rsidRPr="007F537F">
        <w:rPr>
          <w:sz w:val="21"/>
          <w:szCs w:val="21"/>
        </w:rPr>
        <w:t>su</w:t>
      </w:r>
      <w:r w:rsidRPr="007F537F">
        <w:rPr>
          <w:sz w:val="21"/>
          <w:szCs w:val="21"/>
        </w:rPr>
        <w:t>s islas, con la previsión de alcanzar a más de 600 veterinarios asistentes. Las ciudades incluidas en el itinerario son: Lisboa (27/03), Málaga (02/04), Sevilla (03/04), Porto (15/05), Zaragoza</w:t>
      </w:r>
      <w:r w:rsidR="00AB38DC" w:rsidRPr="007F537F">
        <w:rPr>
          <w:sz w:val="21"/>
          <w:szCs w:val="21"/>
        </w:rPr>
        <w:t xml:space="preserve"> (21/05)</w:t>
      </w:r>
      <w:r w:rsidRPr="007F537F">
        <w:rPr>
          <w:sz w:val="21"/>
          <w:szCs w:val="21"/>
        </w:rPr>
        <w:t>, Tarragona</w:t>
      </w:r>
      <w:r w:rsidR="00AB38DC" w:rsidRPr="007F537F">
        <w:rPr>
          <w:sz w:val="21"/>
          <w:szCs w:val="21"/>
        </w:rPr>
        <w:t xml:space="preserve"> (22/05)</w:t>
      </w:r>
      <w:r w:rsidRPr="007F537F">
        <w:rPr>
          <w:sz w:val="21"/>
          <w:szCs w:val="21"/>
        </w:rPr>
        <w:t>, Madeira</w:t>
      </w:r>
      <w:r w:rsidR="00AB38DC" w:rsidRPr="007F537F">
        <w:rPr>
          <w:sz w:val="21"/>
          <w:szCs w:val="21"/>
        </w:rPr>
        <w:t xml:space="preserve"> (05/06)</w:t>
      </w:r>
      <w:r w:rsidRPr="007F537F">
        <w:rPr>
          <w:sz w:val="21"/>
          <w:szCs w:val="21"/>
        </w:rPr>
        <w:t>, Madrid</w:t>
      </w:r>
      <w:r w:rsidR="00AB38DC" w:rsidRPr="007F537F">
        <w:rPr>
          <w:sz w:val="21"/>
          <w:szCs w:val="21"/>
        </w:rPr>
        <w:t xml:space="preserve"> (10/06)</w:t>
      </w:r>
      <w:r w:rsidRPr="007F537F">
        <w:rPr>
          <w:sz w:val="21"/>
          <w:szCs w:val="21"/>
        </w:rPr>
        <w:t xml:space="preserve">, Badajoz </w:t>
      </w:r>
      <w:r w:rsidR="00AB38DC" w:rsidRPr="007F537F">
        <w:rPr>
          <w:sz w:val="21"/>
          <w:szCs w:val="21"/>
        </w:rPr>
        <w:t xml:space="preserve">(17/06) </w:t>
      </w:r>
      <w:r w:rsidRPr="007F537F">
        <w:rPr>
          <w:sz w:val="21"/>
          <w:szCs w:val="21"/>
        </w:rPr>
        <w:t>y Tenerife Sur</w:t>
      </w:r>
      <w:r w:rsidR="00AB38DC" w:rsidRPr="007F537F">
        <w:rPr>
          <w:sz w:val="21"/>
          <w:szCs w:val="21"/>
        </w:rPr>
        <w:t xml:space="preserve"> (24/06)</w:t>
      </w:r>
      <w:r w:rsidRPr="007F537F">
        <w:rPr>
          <w:sz w:val="21"/>
          <w:szCs w:val="21"/>
        </w:rPr>
        <w:t>.</w:t>
      </w:r>
    </w:p>
    <w:p w14:paraId="0D94F175" w14:textId="1430BC8E" w:rsidR="00C94DAB" w:rsidRPr="007F537F" w:rsidRDefault="007F537F" w:rsidP="00C94DAB">
      <w:pPr>
        <w:spacing w:line="240" w:lineRule="auto"/>
        <w:jc w:val="both"/>
        <w:rPr>
          <w:b/>
          <w:sz w:val="21"/>
          <w:szCs w:val="21"/>
        </w:rPr>
      </w:pPr>
      <w:r>
        <w:rPr>
          <w:b/>
          <w:sz w:val="21"/>
          <w:szCs w:val="21"/>
        </w:rPr>
        <w:br/>
      </w:r>
      <w:r w:rsidR="00AB38DC" w:rsidRPr="007F537F">
        <w:rPr>
          <w:b/>
          <w:sz w:val="21"/>
          <w:szCs w:val="21"/>
        </w:rPr>
        <w:t>La desparasitación es cosa seria, pero puede empezar con una “broma”</w:t>
      </w:r>
    </w:p>
    <w:p w14:paraId="5F75265F" w14:textId="2CBE5347" w:rsidR="00C94DAB" w:rsidRPr="007F537F" w:rsidRDefault="00C94DAB" w:rsidP="007F537F">
      <w:pPr>
        <w:spacing w:line="240" w:lineRule="auto"/>
        <w:contextualSpacing/>
        <w:jc w:val="both"/>
        <w:rPr>
          <w:sz w:val="21"/>
          <w:szCs w:val="21"/>
        </w:rPr>
      </w:pPr>
      <w:r w:rsidRPr="007F537F">
        <w:rPr>
          <w:sz w:val="21"/>
          <w:szCs w:val="21"/>
        </w:rPr>
        <w:t xml:space="preserve">Este ciclo de </w:t>
      </w:r>
      <w:r w:rsidR="00AB38DC" w:rsidRPr="007F537F">
        <w:rPr>
          <w:sz w:val="21"/>
          <w:szCs w:val="21"/>
        </w:rPr>
        <w:t>conferencias basadas en el humor,</w:t>
      </w:r>
      <w:r w:rsidRPr="007F537F">
        <w:rPr>
          <w:sz w:val="21"/>
          <w:szCs w:val="21"/>
        </w:rPr>
        <w:t xml:space="preserve"> forma parte de una estrategia global de </w:t>
      </w:r>
      <w:proofErr w:type="spellStart"/>
      <w:r w:rsidRPr="007F537F">
        <w:rPr>
          <w:sz w:val="21"/>
          <w:szCs w:val="21"/>
        </w:rPr>
        <w:t>Elanco</w:t>
      </w:r>
      <w:proofErr w:type="spellEnd"/>
      <w:r w:rsidRPr="007F537F">
        <w:rPr>
          <w:sz w:val="21"/>
          <w:szCs w:val="21"/>
        </w:rPr>
        <w:t xml:space="preserve"> para popularizar la desparasitación animal a través de herramientas cercanas y efectivas. La campaña “La bromita de los parásitos”, presente en más de 1.300 clínicas veterinarias en España</w:t>
      </w:r>
      <w:r w:rsidR="007F537F">
        <w:rPr>
          <w:sz w:val="21"/>
          <w:szCs w:val="21"/>
        </w:rPr>
        <w:t xml:space="preserve"> y Portugal</w:t>
      </w:r>
      <w:r w:rsidRPr="007F537F">
        <w:rPr>
          <w:sz w:val="21"/>
          <w:szCs w:val="21"/>
        </w:rPr>
        <w:t>, utiliza chistes cortos y materiales visuales para concienciar a los tutores sobre la importancia de desparasitar regularmente a sus mascotas. Se estima que llegará a más de 40.000 tutores de perros y gatos, con gran repercusión también en medios digitales, redes sociales y prensa especializada.</w:t>
      </w:r>
    </w:p>
    <w:p w14:paraId="58ACE3FB" w14:textId="77777777" w:rsidR="007F537F" w:rsidRDefault="00C94DAB" w:rsidP="007F537F">
      <w:pPr>
        <w:spacing w:line="240" w:lineRule="auto"/>
        <w:contextualSpacing/>
        <w:jc w:val="both"/>
        <w:rPr>
          <w:sz w:val="21"/>
          <w:szCs w:val="21"/>
        </w:rPr>
      </w:pPr>
      <w:r w:rsidRPr="007F537F">
        <w:rPr>
          <w:sz w:val="21"/>
          <w:szCs w:val="21"/>
        </w:rPr>
        <w:t xml:space="preserve">Con esta acción, </w:t>
      </w:r>
      <w:proofErr w:type="spellStart"/>
      <w:r w:rsidRPr="007F537F">
        <w:rPr>
          <w:sz w:val="21"/>
          <w:szCs w:val="21"/>
        </w:rPr>
        <w:t>Elanco</w:t>
      </w:r>
      <w:proofErr w:type="spellEnd"/>
      <w:r w:rsidR="007F537F">
        <w:rPr>
          <w:sz w:val="21"/>
          <w:szCs w:val="21"/>
        </w:rPr>
        <w:t xml:space="preserve"> busca no só</w:t>
      </w:r>
      <w:r w:rsidRPr="007F537F">
        <w:rPr>
          <w:sz w:val="21"/>
          <w:szCs w:val="21"/>
        </w:rPr>
        <w:t>lo educar y apoyar a los veterinarios en la comunicación con sus clientes, sino también reforzar su posicionamiento como líder y referente en antiparasitarios, ofreciendo recursos útiles, actuales y con un enfoque innovador.</w:t>
      </w:r>
      <w:r w:rsidR="00ED5919" w:rsidRPr="007F537F">
        <w:rPr>
          <w:sz w:val="21"/>
          <w:szCs w:val="21"/>
        </w:rPr>
        <w:t xml:space="preserve"> </w:t>
      </w:r>
    </w:p>
    <w:p w14:paraId="37B44D63" w14:textId="7BB2F86F" w:rsidR="00F476BE" w:rsidRPr="007F537F" w:rsidRDefault="00ED5919" w:rsidP="007F537F">
      <w:pPr>
        <w:spacing w:line="240" w:lineRule="auto"/>
        <w:contextualSpacing/>
        <w:jc w:val="both"/>
        <w:rPr>
          <w:sz w:val="21"/>
          <w:szCs w:val="21"/>
        </w:rPr>
      </w:pPr>
      <w:r w:rsidRPr="007F537F">
        <w:rPr>
          <w:sz w:val="21"/>
          <w:szCs w:val="21"/>
        </w:rPr>
        <w:t>M</w:t>
      </w:r>
      <w:r w:rsidR="00E04B17" w:rsidRPr="007F537F">
        <w:rPr>
          <w:sz w:val="21"/>
          <w:szCs w:val="21"/>
        </w:rPr>
        <w:t xml:space="preserve">ás información de la campaña: </w:t>
      </w:r>
      <w:hyperlink r:id="rId9">
        <w:r w:rsidR="00E04B17" w:rsidRPr="007F537F">
          <w:rPr>
            <w:color w:val="0563C1"/>
            <w:sz w:val="21"/>
            <w:szCs w:val="21"/>
            <w:u w:val="single"/>
          </w:rPr>
          <w:t>www.vetnia.es/bromitas</w:t>
        </w:r>
      </w:hyperlink>
    </w:p>
    <w:p w14:paraId="7A9855F0" w14:textId="55850563" w:rsidR="00ED5919" w:rsidRPr="007F537F" w:rsidRDefault="007F537F" w:rsidP="00ED5919">
      <w:pPr>
        <w:spacing w:line="240" w:lineRule="auto"/>
        <w:jc w:val="both"/>
        <w:rPr>
          <w:sz w:val="21"/>
          <w:szCs w:val="21"/>
        </w:rPr>
      </w:pPr>
      <w:r>
        <w:rPr>
          <w:rFonts w:cs="Arial"/>
          <w:sz w:val="21"/>
          <w:szCs w:val="21"/>
        </w:rPr>
        <w:br/>
      </w:r>
      <w:r w:rsidR="00ED5919" w:rsidRPr="007F537F">
        <w:rPr>
          <w:rFonts w:cs="Arial"/>
          <w:sz w:val="21"/>
          <w:szCs w:val="21"/>
        </w:rPr>
        <w:t xml:space="preserve">Esta iniciativa se enmarca en el programa VETNIA, creado e impulsado por </w:t>
      </w:r>
      <w:proofErr w:type="spellStart"/>
      <w:r w:rsidR="00ED5919" w:rsidRPr="007F537F">
        <w:rPr>
          <w:rFonts w:cs="Arial"/>
          <w:sz w:val="21"/>
          <w:szCs w:val="21"/>
        </w:rPr>
        <w:t>Elanco</w:t>
      </w:r>
      <w:proofErr w:type="spellEnd"/>
      <w:r w:rsidR="00ED5919" w:rsidRPr="007F537F">
        <w:rPr>
          <w:rFonts w:cs="Arial"/>
          <w:sz w:val="21"/>
          <w:szCs w:val="21"/>
        </w:rPr>
        <w:t xml:space="preserve"> cuyos principales objetivos son respaldar la importancia de la profesión veterinaria en la sociedad, promover el </w:t>
      </w:r>
      <w:r w:rsidR="00ED5919" w:rsidRPr="007F537F">
        <w:rPr>
          <w:rFonts w:cs="Arial"/>
          <w:sz w:val="21"/>
          <w:szCs w:val="21"/>
        </w:rPr>
        <w:lastRenderedPageBreak/>
        <w:t>conocimiento, la formación y la salud de los profesionales, impulsar el crecimiento de las clínicas veterinarias y proporcionar soluciones eficaces y seguras para el cuidado de los pacientes.</w:t>
      </w:r>
    </w:p>
    <w:p w14:paraId="78F8C3F2" w14:textId="4EFC1F2E" w:rsidR="00F476BE" w:rsidRPr="007F537F" w:rsidRDefault="00E04B17">
      <w:pPr>
        <w:spacing w:after="0" w:line="240" w:lineRule="auto"/>
        <w:jc w:val="both"/>
        <w:rPr>
          <w:b/>
          <w:sz w:val="21"/>
          <w:szCs w:val="21"/>
        </w:rPr>
      </w:pPr>
      <w:r w:rsidRPr="007F537F">
        <w:rPr>
          <w:b/>
          <w:sz w:val="21"/>
          <w:szCs w:val="21"/>
        </w:rPr>
        <w:t xml:space="preserve">Sobre </w:t>
      </w:r>
      <w:proofErr w:type="spellStart"/>
      <w:r w:rsidRPr="007F537F">
        <w:rPr>
          <w:b/>
          <w:sz w:val="21"/>
          <w:szCs w:val="21"/>
        </w:rPr>
        <w:t>Elanco</w:t>
      </w:r>
      <w:proofErr w:type="spellEnd"/>
    </w:p>
    <w:p w14:paraId="7A8224EE" w14:textId="77777777" w:rsidR="00F476BE" w:rsidRPr="007F537F" w:rsidRDefault="00E04B17">
      <w:pPr>
        <w:spacing w:after="0" w:line="240" w:lineRule="auto"/>
        <w:jc w:val="both"/>
        <w:rPr>
          <w:b/>
          <w:i/>
          <w:sz w:val="21"/>
          <w:szCs w:val="21"/>
        </w:rPr>
      </w:pPr>
      <w:r w:rsidRPr="007F537F">
        <w:rPr>
          <w:b/>
          <w:i/>
          <w:sz w:val="21"/>
          <w:szCs w:val="21"/>
        </w:rPr>
        <w:t>70 años cuidando de la salud animal</w:t>
      </w:r>
    </w:p>
    <w:p w14:paraId="6DCFAEC7" w14:textId="77777777" w:rsidR="00F476BE" w:rsidRPr="007F537F" w:rsidRDefault="00E04B17">
      <w:pPr>
        <w:spacing w:after="0" w:line="240" w:lineRule="auto"/>
        <w:jc w:val="both"/>
        <w:rPr>
          <w:sz w:val="21"/>
          <w:szCs w:val="21"/>
        </w:rPr>
      </w:pPr>
      <w:proofErr w:type="spellStart"/>
      <w:r w:rsidRPr="007F537F">
        <w:rPr>
          <w:sz w:val="21"/>
          <w:szCs w:val="21"/>
        </w:rPr>
        <w:t>Elanco</w:t>
      </w:r>
      <w:proofErr w:type="spellEnd"/>
      <w:r w:rsidRPr="007F537F">
        <w:rPr>
          <w:sz w:val="21"/>
          <w:szCs w:val="21"/>
        </w:rPr>
        <w:t xml:space="preserve"> Animal </w:t>
      </w:r>
      <w:proofErr w:type="spellStart"/>
      <w:r w:rsidRPr="007F537F">
        <w:rPr>
          <w:sz w:val="21"/>
          <w:szCs w:val="21"/>
        </w:rPr>
        <w:t>Health</w:t>
      </w:r>
      <w:proofErr w:type="spellEnd"/>
      <w:r w:rsidRPr="007F537F">
        <w:rPr>
          <w:sz w:val="21"/>
          <w:szCs w:val="21"/>
        </w:rPr>
        <w:t xml:space="preserve"> es una empresa líder mundial en salud animal dedicada a innovar y ofrecer productos y servicios para prevenir y tratar enfermedades en animales de granja y animales de compañía, creando valor para ganaderos, veterinarios, tutores de mascotas, </w:t>
      </w:r>
      <w:proofErr w:type="spellStart"/>
      <w:r w:rsidRPr="007F537F">
        <w:rPr>
          <w:sz w:val="21"/>
          <w:szCs w:val="21"/>
        </w:rPr>
        <w:t>Pet</w:t>
      </w:r>
      <w:proofErr w:type="spellEnd"/>
      <w:r w:rsidRPr="007F537F">
        <w:rPr>
          <w:sz w:val="21"/>
          <w:szCs w:val="21"/>
        </w:rPr>
        <w:t xml:space="preserve"> Shops, grupos de interés y la sociedad en general.</w:t>
      </w:r>
    </w:p>
    <w:p w14:paraId="5370ECEC" w14:textId="77777777" w:rsidR="00F476BE" w:rsidRPr="007F537F" w:rsidRDefault="00E04B17">
      <w:pPr>
        <w:spacing w:after="0" w:line="240" w:lineRule="auto"/>
        <w:jc w:val="both"/>
        <w:rPr>
          <w:sz w:val="21"/>
          <w:szCs w:val="21"/>
        </w:rPr>
      </w:pPr>
      <w:r w:rsidRPr="007F537F">
        <w:rPr>
          <w:sz w:val="21"/>
          <w:szCs w:val="21"/>
        </w:rPr>
        <w:t xml:space="preserve">Las iniciativas de </w:t>
      </w:r>
      <w:proofErr w:type="spellStart"/>
      <w:r w:rsidRPr="007F537F">
        <w:rPr>
          <w:sz w:val="21"/>
          <w:szCs w:val="21"/>
        </w:rPr>
        <w:t>Elanco</w:t>
      </w:r>
      <w:proofErr w:type="spellEnd"/>
      <w:r w:rsidRPr="007F537F">
        <w:rPr>
          <w:sz w:val="21"/>
          <w:szCs w:val="21"/>
        </w:rPr>
        <w:t xml:space="preserve"> </w:t>
      </w:r>
      <w:proofErr w:type="spellStart"/>
      <w:r w:rsidRPr="007F537F">
        <w:rPr>
          <w:sz w:val="21"/>
          <w:szCs w:val="21"/>
        </w:rPr>
        <w:t>Healthy</w:t>
      </w:r>
      <w:proofErr w:type="spellEnd"/>
      <w:r w:rsidRPr="007F537F">
        <w:rPr>
          <w:sz w:val="21"/>
          <w:szCs w:val="21"/>
        </w:rPr>
        <w:t xml:space="preserve"> </w:t>
      </w:r>
      <w:proofErr w:type="spellStart"/>
      <w:r w:rsidRPr="007F537F">
        <w:rPr>
          <w:sz w:val="21"/>
          <w:szCs w:val="21"/>
        </w:rPr>
        <w:t>Purpose</w:t>
      </w:r>
      <w:proofErr w:type="spellEnd"/>
      <w:r w:rsidRPr="007F537F">
        <w:rPr>
          <w:sz w:val="21"/>
          <w:szCs w:val="21"/>
        </w:rPr>
        <w:t>™ promueven la salud de los animales, las personas y el planeta, sensibilizando al consumidor sobre la importancia de la seguridad alimentaria mundial y potenciando el vínculo entre las personas y los animales.</w:t>
      </w:r>
    </w:p>
    <w:p w14:paraId="2E3DF17A" w14:textId="77777777" w:rsidR="00F476BE" w:rsidRPr="007F537F" w:rsidRDefault="00E04B17">
      <w:pPr>
        <w:spacing w:after="0" w:line="240" w:lineRule="auto"/>
        <w:jc w:val="both"/>
        <w:rPr>
          <w:sz w:val="21"/>
          <w:szCs w:val="21"/>
        </w:rPr>
      </w:pPr>
      <w:r w:rsidRPr="007F537F">
        <w:rPr>
          <w:sz w:val="21"/>
          <w:szCs w:val="21"/>
        </w:rPr>
        <w:t xml:space="preserve">Con presencia en </w:t>
      </w:r>
      <w:r w:rsidRPr="007F537F">
        <w:rPr>
          <w:b/>
          <w:sz w:val="21"/>
          <w:szCs w:val="21"/>
        </w:rPr>
        <w:t>90 países</w:t>
      </w:r>
      <w:r w:rsidRPr="007F537F">
        <w:rPr>
          <w:sz w:val="21"/>
          <w:szCs w:val="21"/>
        </w:rPr>
        <w:t xml:space="preserve"> y unos </w:t>
      </w:r>
      <w:r w:rsidRPr="007F537F">
        <w:rPr>
          <w:b/>
          <w:sz w:val="21"/>
          <w:szCs w:val="21"/>
        </w:rPr>
        <w:t>9.000 empleados</w:t>
      </w:r>
      <w:r w:rsidRPr="007F537F">
        <w:rPr>
          <w:sz w:val="21"/>
          <w:szCs w:val="21"/>
        </w:rPr>
        <w:t xml:space="preserve"> en todo el mundo, la compañía promueve la innovación, tanto en la investigación científica como en las operaciones cotidianas. Fundada en 1954, </w:t>
      </w:r>
      <w:proofErr w:type="spellStart"/>
      <w:r w:rsidRPr="007F537F">
        <w:rPr>
          <w:sz w:val="21"/>
          <w:szCs w:val="21"/>
        </w:rPr>
        <w:t>Elanco</w:t>
      </w:r>
      <w:proofErr w:type="spellEnd"/>
      <w:r w:rsidRPr="007F537F">
        <w:rPr>
          <w:sz w:val="21"/>
          <w:szCs w:val="21"/>
        </w:rPr>
        <w:t xml:space="preserve"> tiene su sede principal en </w:t>
      </w:r>
      <w:proofErr w:type="spellStart"/>
      <w:r w:rsidRPr="007F537F">
        <w:rPr>
          <w:sz w:val="21"/>
          <w:szCs w:val="21"/>
        </w:rPr>
        <w:t>Greenfield</w:t>
      </w:r>
      <w:proofErr w:type="spellEnd"/>
      <w:r w:rsidRPr="007F537F">
        <w:rPr>
          <w:sz w:val="21"/>
          <w:szCs w:val="21"/>
        </w:rPr>
        <w:t xml:space="preserve">, Indiana (EE.UU.), cuenta con </w:t>
      </w:r>
      <w:r w:rsidRPr="007F537F">
        <w:rPr>
          <w:b/>
          <w:sz w:val="21"/>
          <w:szCs w:val="21"/>
        </w:rPr>
        <w:t>18 plantas de fabricación</w:t>
      </w:r>
      <w:r w:rsidRPr="007F537F">
        <w:rPr>
          <w:sz w:val="21"/>
          <w:szCs w:val="21"/>
        </w:rPr>
        <w:t xml:space="preserve"> y </w:t>
      </w:r>
      <w:r w:rsidRPr="007F537F">
        <w:rPr>
          <w:b/>
          <w:sz w:val="21"/>
          <w:szCs w:val="21"/>
        </w:rPr>
        <w:t>más de 200 marcas</w:t>
      </w:r>
      <w:r w:rsidRPr="007F537F">
        <w:rPr>
          <w:sz w:val="21"/>
          <w:szCs w:val="21"/>
        </w:rPr>
        <w:t xml:space="preserve">. </w:t>
      </w:r>
    </w:p>
    <w:p w14:paraId="1965A3B3" w14:textId="77777777" w:rsidR="00F476BE" w:rsidRPr="007F537F" w:rsidRDefault="00E04B17">
      <w:pPr>
        <w:spacing w:after="0" w:line="240" w:lineRule="auto"/>
        <w:jc w:val="both"/>
        <w:rPr>
          <w:sz w:val="21"/>
          <w:szCs w:val="21"/>
        </w:rPr>
      </w:pPr>
      <w:r w:rsidRPr="007F537F">
        <w:rPr>
          <w:sz w:val="21"/>
          <w:szCs w:val="21"/>
        </w:rPr>
        <w:t xml:space="preserve">Más información en </w:t>
      </w:r>
      <w:hyperlink r:id="rId10">
        <w:r w:rsidRPr="007F537F">
          <w:rPr>
            <w:b/>
            <w:color w:val="0563C1"/>
            <w:sz w:val="21"/>
            <w:szCs w:val="21"/>
            <w:u w:val="single"/>
          </w:rPr>
          <w:t>elanco.com</w:t>
        </w:r>
      </w:hyperlink>
    </w:p>
    <w:p w14:paraId="6B45BD5A" w14:textId="77777777" w:rsidR="00F476BE" w:rsidRPr="007F537F" w:rsidRDefault="00F476BE">
      <w:pPr>
        <w:spacing w:after="0" w:line="240" w:lineRule="auto"/>
        <w:jc w:val="both"/>
        <w:rPr>
          <w:b/>
          <w:sz w:val="21"/>
          <w:szCs w:val="21"/>
        </w:rPr>
      </w:pPr>
    </w:p>
    <w:p w14:paraId="6D7E0FCB" w14:textId="1BF1BBE1" w:rsidR="00F476BE" w:rsidRPr="007F537F" w:rsidRDefault="007F537F">
      <w:pPr>
        <w:spacing w:after="0" w:line="240" w:lineRule="auto"/>
        <w:jc w:val="both"/>
        <w:rPr>
          <w:sz w:val="21"/>
          <w:szCs w:val="21"/>
        </w:rPr>
      </w:pPr>
      <w:r>
        <w:rPr>
          <w:b/>
          <w:sz w:val="21"/>
          <w:szCs w:val="21"/>
        </w:rPr>
        <w:br/>
      </w:r>
      <w:r w:rsidR="00E04B17" w:rsidRPr="007F537F">
        <w:rPr>
          <w:b/>
          <w:sz w:val="21"/>
          <w:szCs w:val="21"/>
        </w:rPr>
        <w:t>MATERIALES QUE ACOMPAÑAN LA NOTA DE PRENSA:</w:t>
      </w:r>
    </w:p>
    <w:p w14:paraId="1830C061" w14:textId="77777777" w:rsidR="00F476BE" w:rsidRPr="007F537F" w:rsidRDefault="00E04B17">
      <w:pPr>
        <w:spacing w:line="240" w:lineRule="auto"/>
        <w:rPr>
          <w:b/>
          <w:sz w:val="21"/>
          <w:szCs w:val="21"/>
        </w:rPr>
      </w:pPr>
      <w:r w:rsidRPr="007F537F">
        <w:rPr>
          <w:b/>
          <w:sz w:val="21"/>
          <w:szCs w:val="21"/>
        </w:rPr>
        <w:t xml:space="preserve">Logos: </w:t>
      </w:r>
    </w:p>
    <w:tbl>
      <w:tblPr>
        <w:tblStyle w:val="a"/>
        <w:tblW w:w="8721" w:type="dxa"/>
        <w:tblInd w:w="-108" w:type="dxa"/>
        <w:tblLayout w:type="fixed"/>
        <w:tblLook w:val="0400" w:firstRow="0" w:lastRow="0" w:firstColumn="0" w:lastColumn="0" w:noHBand="0" w:noVBand="1"/>
      </w:tblPr>
      <w:tblGrid>
        <w:gridCol w:w="8721"/>
      </w:tblGrid>
      <w:tr w:rsidR="00F476BE" w14:paraId="29589BDF" w14:textId="77777777" w:rsidTr="00F969E2">
        <w:tc>
          <w:tcPr>
            <w:tcW w:w="8721" w:type="dxa"/>
            <w:vAlign w:val="center"/>
          </w:tcPr>
          <w:p w14:paraId="215116CB" w14:textId="77777777" w:rsidR="00F476BE" w:rsidRDefault="00F476BE">
            <w:pPr>
              <w:widowControl w:val="0"/>
              <w:pBdr>
                <w:top w:val="nil"/>
                <w:left w:val="nil"/>
                <w:bottom w:val="nil"/>
                <w:right w:val="nil"/>
                <w:between w:val="nil"/>
              </w:pBdr>
              <w:spacing w:line="276" w:lineRule="auto"/>
              <w:rPr>
                <w:b/>
              </w:rPr>
            </w:pPr>
          </w:p>
          <w:tbl>
            <w:tblPr>
              <w:tblStyle w:val="a0"/>
              <w:tblW w:w="3823" w:type="dxa"/>
              <w:tblBorders>
                <w:top w:val="nil"/>
                <w:left w:val="nil"/>
                <w:bottom w:val="nil"/>
                <w:right w:val="nil"/>
                <w:insideH w:val="nil"/>
                <w:insideV w:val="nil"/>
              </w:tblBorders>
              <w:tblLayout w:type="fixed"/>
              <w:tblLook w:val="0400" w:firstRow="0" w:lastRow="0" w:firstColumn="0" w:lastColumn="0" w:noHBand="0" w:noVBand="1"/>
            </w:tblPr>
            <w:tblGrid>
              <w:gridCol w:w="1980"/>
              <w:gridCol w:w="1843"/>
            </w:tblGrid>
            <w:tr w:rsidR="00F969E2" w14:paraId="06250584" w14:textId="77777777" w:rsidTr="00F969E2">
              <w:trPr>
                <w:trHeight w:val="798"/>
              </w:trPr>
              <w:tc>
                <w:tcPr>
                  <w:tcW w:w="1980" w:type="dxa"/>
                </w:tcPr>
                <w:p w14:paraId="3EE41D26" w14:textId="77777777" w:rsidR="00F969E2" w:rsidRDefault="00F969E2">
                  <w:pPr>
                    <w:rPr>
                      <w:b/>
                      <w:sz w:val="24"/>
                      <w:szCs w:val="24"/>
                    </w:rPr>
                  </w:pPr>
                  <w:r>
                    <w:rPr>
                      <w:b/>
                      <w:noProof/>
                      <w:sz w:val="24"/>
                      <w:szCs w:val="24"/>
                      <w:lang w:val="es-ES"/>
                    </w:rPr>
                    <w:drawing>
                      <wp:inline distT="0" distB="0" distL="0" distR="0" wp14:anchorId="65D8633E" wp14:editId="3964403B">
                        <wp:extent cx="959009" cy="480860"/>
                        <wp:effectExtent l="0" t="0" r="0" b="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1"/>
                                <a:srcRect/>
                                <a:stretch>
                                  <a:fillRect/>
                                </a:stretch>
                              </pic:blipFill>
                              <pic:spPr>
                                <a:xfrm>
                                  <a:off x="0" y="0"/>
                                  <a:ext cx="959009" cy="480860"/>
                                </a:xfrm>
                                <a:prstGeom prst="rect">
                                  <a:avLst/>
                                </a:prstGeom>
                                <a:ln/>
                              </pic:spPr>
                            </pic:pic>
                          </a:graphicData>
                        </a:graphic>
                      </wp:inline>
                    </w:drawing>
                  </w:r>
                </w:p>
              </w:tc>
              <w:tc>
                <w:tcPr>
                  <w:tcW w:w="1843" w:type="dxa"/>
                </w:tcPr>
                <w:p w14:paraId="503F0582" w14:textId="77777777" w:rsidR="00F969E2" w:rsidRDefault="00F969E2">
                  <w:pPr>
                    <w:rPr>
                      <w:b/>
                      <w:sz w:val="24"/>
                      <w:szCs w:val="24"/>
                    </w:rPr>
                  </w:pPr>
                  <w:r>
                    <w:rPr>
                      <w:rFonts w:ascii="RingsideRegular-Light" w:eastAsia="RingsideRegular-Light" w:hAnsi="RingsideRegular-Light" w:cs="RingsideRegular-Light"/>
                      <w:noProof/>
                      <w:sz w:val="20"/>
                      <w:szCs w:val="20"/>
                      <w:lang w:val="es-ES"/>
                    </w:rPr>
                    <w:drawing>
                      <wp:inline distT="0" distB="0" distL="0" distR="0" wp14:anchorId="5600DF37" wp14:editId="7A801B44">
                        <wp:extent cx="864198" cy="519258"/>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864198" cy="519258"/>
                                </a:xfrm>
                                <a:prstGeom prst="rect">
                                  <a:avLst/>
                                </a:prstGeom>
                                <a:ln/>
                              </pic:spPr>
                            </pic:pic>
                          </a:graphicData>
                        </a:graphic>
                      </wp:inline>
                    </w:drawing>
                  </w:r>
                </w:p>
              </w:tc>
            </w:tr>
          </w:tbl>
          <w:p w14:paraId="555141DD" w14:textId="77777777" w:rsidR="00F476BE" w:rsidRDefault="00F476BE">
            <w:pPr>
              <w:rPr>
                <w:b/>
                <w:sz w:val="24"/>
                <w:szCs w:val="24"/>
              </w:rPr>
            </w:pPr>
          </w:p>
        </w:tc>
      </w:tr>
      <w:tr w:rsidR="00F969E2" w14:paraId="283E44C7" w14:textId="77777777" w:rsidTr="00F969E2">
        <w:tc>
          <w:tcPr>
            <w:tcW w:w="8721" w:type="dxa"/>
            <w:vAlign w:val="center"/>
          </w:tcPr>
          <w:p w14:paraId="194286E8" w14:textId="235EDB8D" w:rsidR="00F969E2" w:rsidRDefault="00F969E2">
            <w:pPr>
              <w:widowControl w:val="0"/>
              <w:pBdr>
                <w:top w:val="nil"/>
                <w:left w:val="nil"/>
                <w:bottom w:val="nil"/>
                <w:right w:val="nil"/>
                <w:between w:val="nil"/>
              </w:pBdr>
              <w:spacing w:line="276" w:lineRule="auto"/>
              <w:rPr>
                <w:b/>
              </w:rPr>
            </w:pPr>
            <w:r>
              <w:rPr>
                <w:b/>
                <w:noProof/>
                <w:lang w:val="es-ES"/>
              </w:rPr>
              <w:drawing>
                <wp:inline distT="0" distB="0" distL="0" distR="0" wp14:anchorId="31AD81BA" wp14:editId="7F728052">
                  <wp:extent cx="5328285" cy="632494"/>
                  <wp:effectExtent l="0" t="0" r="5715" b="2540"/>
                  <wp:docPr id="1" name="Imagen 1" descr="Macintosh HD:Users:ValeriaTorno:Desktop:CLIENTES:ULLED:ELANCO:OFICINA DE PRENSA:NOTAS DE PRENSA:CICLO DE CONFERENCIAS CONTRA LOS PARASITOS STAND UP:mar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OFICINA DE PRENSA:NOTAS DE PRENSA:CICLO DE CONFERENCIAS CONTRA LOS PARASITOS STAND UP:marca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9109" b="28218"/>
                          <a:stretch/>
                        </pic:blipFill>
                        <pic:spPr bwMode="auto">
                          <a:xfrm>
                            <a:off x="0" y="0"/>
                            <a:ext cx="5328285" cy="632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6072A8" w14:textId="57A3761A" w:rsidR="00F476BE" w:rsidRPr="007F537F" w:rsidRDefault="00ED5919">
      <w:pPr>
        <w:spacing w:line="240" w:lineRule="auto"/>
        <w:rPr>
          <w:b/>
          <w:sz w:val="21"/>
          <w:szCs w:val="21"/>
        </w:rPr>
      </w:pPr>
      <w:r>
        <w:rPr>
          <w:b/>
          <w:sz w:val="24"/>
          <w:szCs w:val="24"/>
        </w:rPr>
        <w:br/>
      </w:r>
      <w:r w:rsidR="00E04B17" w:rsidRPr="007F537F">
        <w:rPr>
          <w:b/>
          <w:sz w:val="21"/>
          <w:szCs w:val="21"/>
        </w:rPr>
        <w:t>Imágenes de recurso</w:t>
      </w:r>
    </w:p>
    <w:tbl>
      <w:tblPr>
        <w:tblStyle w:val="Tablaconcuadrcula"/>
        <w:tblW w:w="0" w:type="auto"/>
        <w:tblLook w:val="04A0" w:firstRow="1" w:lastRow="0" w:firstColumn="1" w:lastColumn="0" w:noHBand="0" w:noVBand="1"/>
      </w:tblPr>
      <w:tblGrid>
        <w:gridCol w:w="3023"/>
        <w:gridCol w:w="3024"/>
        <w:gridCol w:w="3024"/>
      </w:tblGrid>
      <w:tr w:rsidR="00F969E2" w14:paraId="5640A550" w14:textId="77777777" w:rsidTr="00A357C0">
        <w:trPr>
          <w:trHeight w:val="1713"/>
        </w:trPr>
        <w:tc>
          <w:tcPr>
            <w:tcW w:w="3023" w:type="dxa"/>
            <w:vAlign w:val="center"/>
          </w:tcPr>
          <w:p w14:paraId="7210A0AB" w14:textId="7025C84D" w:rsidR="00F969E2" w:rsidRDefault="00A357C0" w:rsidP="00A357C0">
            <w:pPr>
              <w:jc w:val="center"/>
              <w:rPr>
                <w:b/>
                <w:sz w:val="24"/>
                <w:szCs w:val="24"/>
              </w:rPr>
            </w:pPr>
            <w:r>
              <w:rPr>
                <w:b/>
                <w:noProof/>
                <w:sz w:val="24"/>
                <w:szCs w:val="24"/>
                <w:lang w:val="es-ES"/>
              </w:rPr>
              <w:drawing>
                <wp:inline distT="0" distB="0" distL="0" distR="0" wp14:anchorId="74822BE1" wp14:editId="40DA44F5">
                  <wp:extent cx="1694292" cy="955665"/>
                  <wp:effectExtent l="0" t="0" r="7620"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94292" cy="955665"/>
                          </a:xfrm>
                          <a:prstGeom prst="rect">
                            <a:avLst/>
                          </a:prstGeom>
                          <a:noFill/>
                          <a:ln>
                            <a:noFill/>
                          </a:ln>
                        </pic:spPr>
                      </pic:pic>
                    </a:graphicData>
                  </a:graphic>
                </wp:inline>
              </w:drawing>
            </w:r>
          </w:p>
        </w:tc>
        <w:tc>
          <w:tcPr>
            <w:tcW w:w="3024" w:type="dxa"/>
            <w:vAlign w:val="center"/>
          </w:tcPr>
          <w:p w14:paraId="02F0C6FF" w14:textId="176E4981" w:rsidR="00F969E2" w:rsidRDefault="00F969E2" w:rsidP="00A357C0">
            <w:pPr>
              <w:jc w:val="center"/>
              <w:rPr>
                <w:b/>
                <w:sz w:val="24"/>
                <w:szCs w:val="24"/>
              </w:rPr>
            </w:pPr>
            <w:r>
              <w:rPr>
                <w:b/>
                <w:noProof/>
                <w:sz w:val="24"/>
                <w:szCs w:val="24"/>
                <w:lang w:val="es-ES"/>
              </w:rPr>
              <w:drawing>
                <wp:inline distT="0" distB="0" distL="0" distR="0" wp14:anchorId="7D0697FA" wp14:editId="273019C6">
                  <wp:extent cx="1715934" cy="955665"/>
                  <wp:effectExtent l="0" t="0" r="1143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5934" cy="955665"/>
                          </a:xfrm>
                          <a:prstGeom prst="rect">
                            <a:avLst/>
                          </a:prstGeom>
                          <a:noFill/>
                          <a:ln>
                            <a:noFill/>
                          </a:ln>
                        </pic:spPr>
                      </pic:pic>
                    </a:graphicData>
                  </a:graphic>
                </wp:inline>
              </w:drawing>
            </w:r>
          </w:p>
        </w:tc>
        <w:tc>
          <w:tcPr>
            <w:tcW w:w="3024" w:type="dxa"/>
            <w:vAlign w:val="center"/>
          </w:tcPr>
          <w:p w14:paraId="6A0ED650" w14:textId="17634C62" w:rsidR="00F969E2" w:rsidRDefault="00F969E2" w:rsidP="00A357C0">
            <w:pPr>
              <w:jc w:val="center"/>
              <w:rPr>
                <w:b/>
                <w:sz w:val="24"/>
                <w:szCs w:val="24"/>
              </w:rPr>
            </w:pPr>
            <w:r>
              <w:rPr>
                <w:b/>
                <w:noProof/>
                <w:sz w:val="24"/>
                <w:szCs w:val="24"/>
                <w:lang w:val="es-ES"/>
              </w:rPr>
              <w:drawing>
                <wp:inline distT="0" distB="0" distL="0" distR="0" wp14:anchorId="57760538" wp14:editId="79BB6F88">
                  <wp:extent cx="1700521" cy="955665"/>
                  <wp:effectExtent l="0" t="0" r="1905"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00521" cy="955665"/>
                          </a:xfrm>
                          <a:prstGeom prst="rect">
                            <a:avLst/>
                          </a:prstGeom>
                          <a:noFill/>
                          <a:ln>
                            <a:noFill/>
                          </a:ln>
                        </pic:spPr>
                      </pic:pic>
                    </a:graphicData>
                  </a:graphic>
                </wp:inline>
              </w:drawing>
            </w:r>
          </w:p>
        </w:tc>
      </w:tr>
      <w:tr w:rsidR="00F969E2" w14:paraId="5F733C58" w14:textId="77777777" w:rsidTr="00A357C0">
        <w:trPr>
          <w:trHeight w:val="1695"/>
        </w:trPr>
        <w:tc>
          <w:tcPr>
            <w:tcW w:w="3023" w:type="dxa"/>
            <w:vAlign w:val="center"/>
          </w:tcPr>
          <w:p w14:paraId="0912CE46" w14:textId="6F1BA71E" w:rsidR="00F969E2" w:rsidRDefault="00F969E2" w:rsidP="00A357C0">
            <w:pPr>
              <w:jc w:val="center"/>
              <w:rPr>
                <w:b/>
                <w:sz w:val="24"/>
                <w:szCs w:val="24"/>
              </w:rPr>
            </w:pPr>
            <w:r>
              <w:rPr>
                <w:b/>
                <w:noProof/>
                <w:sz w:val="24"/>
                <w:szCs w:val="24"/>
                <w:lang w:val="es-ES"/>
              </w:rPr>
              <w:drawing>
                <wp:inline distT="0" distB="0" distL="0" distR="0" wp14:anchorId="12E70D55" wp14:editId="44F72ADA">
                  <wp:extent cx="1702499" cy="955665"/>
                  <wp:effectExtent l="0" t="0" r="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2499" cy="955665"/>
                          </a:xfrm>
                          <a:prstGeom prst="rect">
                            <a:avLst/>
                          </a:prstGeom>
                          <a:noFill/>
                          <a:ln>
                            <a:noFill/>
                          </a:ln>
                        </pic:spPr>
                      </pic:pic>
                    </a:graphicData>
                  </a:graphic>
                </wp:inline>
              </w:drawing>
            </w:r>
          </w:p>
        </w:tc>
        <w:tc>
          <w:tcPr>
            <w:tcW w:w="3024" w:type="dxa"/>
            <w:vAlign w:val="center"/>
          </w:tcPr>
          <w:p w14:paraId="31800F99" w14:textId="1924D66C" w:rsidR="00F969E2" w:rsidRDefault="00F969E2" w:rsidP="00A357C0">
            <w:pPr>
              <w:jc w:val="center"/>
              <w:rPr>
                <w:b/>
                <w:sz w:val="24"/>
                <w:szCs w:val="24"/>
              </w:rPr>
            </w:pPr>
            <w:r>
              <w:rPr>
                <w:b/>
                <w:noProof/>
                <w:sz w:val="24"/>
                <w:szCs w:val="24"/>
                <w:lang w:val="es-ES"/>
              </w:rPr>
              <w:drawing>
                <wp:inline distT="0" distB="0" distL="0" distR="0" wp14:anchorId="35429BC4" wp14:editId="4BF5A8DB">
                  <wp:extent cx="1739265" cy="946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96" b="6743"/>
                          <a:stretch/>
                        </pic:blipFill>
                        <pic:spPr bwMode="auto">
                          <a:xfrm>
                            <a:off x="0" y="0"/>
                            <a:ext cx="1741952" cy="947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4" w:type="dxa"/>
            <w:vAlign w:val="center"/>
          </w:tcPr>
          <w:p w14:paraId="18E334F4" w14:textId="37D3DBA6" w:rsidR="00F969E2" w:rsidRDefault="00A357C0" w:rsidP="00A357C0">
            <w:pPr>
              <w:jc w:val="center"/>
              <w:rPr>
                <w:b/>
                <w:sz w:val="24"/>
                <w:szCs w:val="24"/>
              </w:rPr>
            </w:pPr>
            <w:r>
              <w:rPr>
                <w:b/>
                <w:noProof/>
                <w:sz w:val="24"/>
                <w:szCs w:val="24"/>
                <w:lang w:val="es-ES"/>
              </w:rPr>
              <w:drawing>
                <wp:inline distT="0" distB="0" distL="0" distR="0" wp14:anchorId="559E50C9" wp14:editId="01508602">
                  <wp:extent cx="1679224" cy="9476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aTorno:Desktop:Captura de pantalla 2025-06-12 a las 11.29.2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79224" cy="947612"/>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14:paraId="00660B9E" w14:textId="77777777" w:rsidR="00F476BE" w:rsidRDefault="00F476BE">
      <w:pPr>
        <w:spacing w:line="240" w:lineRule="auto"/>
        <w:rPr>
          <w:b/>
          <w:sz w:val="24"/>
          <w:szCs w:val="24"/>
        </w:rPr>
      </w:pPr>
    </w:p>
    <w:sectPr w:rsidR="00F476BE">
      <w:headerReference w:type="default" r:id="rId20"/>
      <w:footerReference w:type="default" r:id="rId21"/>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829EE" w14:textId="77777777" w:rsidR="00ED5919" w:rsidRDefault="00ED5919">
      <w:pPr>
        <w:spacing w:after="0" w:line="240" w:lineRule="auto"/>
      </w:pPr>
      <w:r>
        <w:separator/>
      </w:r>
    </w:p>
  </w:endnote>
  <w:endnote w:type="continuationSeparator" w:id="0">
    <w:p w14:paraId="48D23713" w14:textId="77777777" w:rsidR="00ED5919" w:rsidRDefault="00ED5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RingsideRegular-Light">
    <w:altName w:val="Ringside Regular Light"/>
    <w:panose1 w:val="00000000000000000000"/>
    <w:charset w:val="4D"/>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ED5919" w:rsidRDefault="00ED5919" w:rsidP="00E61E6D">
    <w:pPr>
      <w:widowControl w:val="0"/>
      <w:spacing w:after="0" w:line="240" w:lineRule="auto"/>
      <w:jc w:val="right"/>
      <w:rPr>
        <w:b/>
        <w:color w:val="000000"/>
        <w:sz w:val="18"/>
        <w:szCs w:val="18"/>
      </w:rPr>
    </w:pPr>
  </w:p>
  <w:p w14:paraId="51809008" w14:textId="77777777" w:rsidR="00ED5919" w:rsidRDefault="00ED5919">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w:t>
    </w:r>
  </w:p>
  <w:p w14:paraId="4C2262E4" w14:textId="77777777" w:rsidR="00ED5919" w:rsidRDefault="00ED5919">
    <w:pPr>
      <w:widowControl w:val="0"/>
      <w:rPr>
        <w:b/>
        <w:color w:val="000000"/>
        <w:sz w:val="18"/>
        <w:szCs w:val="18"/>
      </w:rPr>
    </w:pPr>
    <w:bookmarkStart w:id="1" w:name="_heading=h.2covsdm42ml5" w:colFirst="0" w:colLast="0"/>
    <w:bookmarkEnd w:id="1"/>
    <w:r>
      <w:rPr>
        <w:color w:val="000000"/>
        <w:sz w:val="18"/>
        <w:szCs w:val="18"/>
      </w:rPr>
      <w:t xml:space="preserve">Para </w:t>
    </w:r>
    <w:r>
      <w:rPr>
        <w:b/>
        <w:color w:val="000000"/>
        <w:sz w:val="18"/>
        <w:szCs w:val="18"/>
      </w:rPr>
      <w:t>más información</w:t>
    </w:r>
    <w:r>
      <w:rPr>
        <w:color w:val="000000"/>
        <w:sz w:val="18"/>
        <w:szCs w:val="18"/>
      </w:rPr>
      <w:t xml:space="preserve"> contacta con:  </w:t>
    </w:r>
    <w:r>
      <w:rPr>
        <w:color w:val="000000"/>
        <w:sz w:val="18"/>
        <w:szCs w:val="18"/>
      </w:rPr>
      <w:br/>
    </w:r>
    <w:r>
      <w:rPr>
        <w:b/>
        <w:color w:val="000000"/>
        <w:sz w:val="18"/>
        <w:szCs w:val="18"/>
      </w:rPr>
      <w:t xml:space="preserve">ULLED – Valeria Torno  </w:t>
    </w:r>
    <w:r>
      <w:rPr>
        <w:color w:val="000000"/>
        <w:sz w:val="18"/>
        <w:szCs w:val="18"/>
      </w:rPr>
      <w:t>I</w:t>
    </w:r>
    <w:r>
      <w:rPr>
        <w:b/>
        <w:color w:val="000000"/>
        <w:sz w:val="18"/>
        <w:szCs w:val="18"/>
      </w:rPr>
      <w:t xml:space="preserve">  </w:t>
    </w:r>
    <w:hyperlink r:id="rId1">
      <w:r>
        <w:rPr>
          <w:color w:val="0563C1"/>
          <w:sz w:val="18"/>
          <w:szCs w:val="18"/>
          <w:u w:val="single"/>
        </w:rPr>
        <w:t>vtorno@ulled.com</w:t>
      </w:r>
    </w:hyperlink>
    <w:r>
      <w:rPr>
        <w:color w:val="000000"/>
        <w:sz w:val="18"/>
        <w:szCs w:val="18"/>
      </w:rPr>
      <w:t xml:space="preserve">  I  +34 669 927 786</w:t>
    </w:r>
  </w:p>
  <w:p w14:paraId="5E389274" w14:textId="77777777" w:rsidR="00ED5919" w:rsidRDefault="00ED5919">
    <w:pPr>
      <w:widowControl w:val="0"/>
      <w:spacing w:after="0" w:line="240" w:lineRule="auto"/>
      <w:rPr>
        <w:color w:val="000000"/>
        <w:sz w:val="18"/>
        <w:szCs w:val="18"/>
      </w:rPr>
    </w:pPr>
  </w:p>
  <w:p w14:paraId="3B574CE0" w14:textId="77777777" w:rsidR="00ED5919" w:rsidRDefault="00ED5919">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A357C0">
      <w:rPr>
        <w:noProof/>
        <w:color w:val="000000"/>
        <w:sz w:val="16"/>
        <w:szCs w:val="16"/>
      </w:rPr>
      <w:t>2</w:t>
    </w:r>
    <w:r>
      <w:rPr>
        <w:color w:val="000000"/>
        <w:sz w:val="16"/>
        <w:szCs w:val="16"/>
      </w:rPr>
      <w:fldChar w:fldCharType="end"/>
    </w:r>
  </w:p>
  <w:p w14:paraId="723A950D" w14:textId="77777777" w:rsidR="00F969E2" w:rsidRPr="00F969E2" w:rsidRDefault="00F969E2" w:rsidP="00F969E2">
    <w:pPr>
      <w:pBdr>
        <w:top w:val="nil"/>
        <w:left w:val="nil"/>
        <w:bottom w:val="nil"/>
        <w:right w:val="nil"/>
        <w:between w:val="nil"/>
      </w:pBdr>
      <w:tabs>
        <w:tab w:val="center" w:pos="4252"/>
        <w:tab w:val="right" w:pos="8504"/>
      </w:tabs>
      <w:spacing w:after="0" w:line="240" w:lineRule="auto"/>
      <w:rPr>
        <w:color w:val="767171"/>
        <w:sz w:val="16"/>
        <w:szCs w:val="16"/>
      </w:rPr>
    </w:pPr>
    <w:proofErr w:type="spellStart"/>
    <w:r w:rsidRPr="00F969E2">
      <w:rPr>
        <w:color w:val="767171"/>
        <w:sz w:val="16"/>
        <w:szCs w:val="16"/>
      </w:rPr>
      <w:t>Seresto</w:t>
    </w:r>
    <w:proofErr w:type="spellEnd"/>
    <w:r w:rsidRPr="00F969E2">
      <w:rPr>
        <w:color w:val="767171"/>
        <w:sz w:val="16"/>
        <w:szCs w:val="16"/>
      </w:rPr>
      <w:t xml:space="preserve">, Advantix, </w:t>
    </w:r>
    <w:proofErr w:type="spellStart"/>
    <w:r w:rsidRPr="00F969E2">
      <w:rPr>
        <w:color w:val="767171"/>
        <w:sz w:val="16"/>
        <w:szCs w:val="16"/>
      </w:rPr>
      <w:t>Milbemax</w:t>
    </w:r>
    <w:proofErr w:type="spellEnd"/>
    <w:r w:rsidRPr="00F969E2">
      <w:rPr>
        <w:color w:val="767171"/>
        <w:sz w:val="16"/>
        <w:szCs w:val="16"/>
      </w:rPr>
      <w:t xml:space="preserve">, </w:t>
    </w:r>
    <w:proofErr w:type="spellStart"/>
    <w:r w:rsidRPr="00F969E2">
      <w:rPr>
        <w:color w:val="767171"/>
        <w:sz w:val="16"/>
        <w:szCs w:val="16"/>
      </w:rPr>
      <w:t>Credelio</w:t>
    </w:r>
    <w:proofErr w:type="spellEnd"/>
    <w:r w:rsidRPr="00F969E2">
      <w:rPr>
        <w:color w:val="767171"/>
        <w:sz w:val="16"/>
        <w:szCs w:val="16"/>
      </w:rPr>
      <w:t xml:space="preserve">, </w:t>
    </w:r>
    <w:proofErr w:type="spellStart"/>
    <w:r w:rsidRPr="00F969E2">
      <w:rPr>
        <w:color w:val="767171"/>
        <w:sz w:val="16"/>
        <w:szCs w:val="16"/>
      </w:rPr>
      <w:t>Credelio</w:t>
    </w:r>
    <w:proofErr w:type="spellEnd"/>
    <w:r w:rsidRPr="00F969E2">
      <w:rPr>
        <w:color w:val="767171"/>
        <w:sz w:val="16"/>
        <w:szCs w:val="16"/>
      </w:rPr>
      <w:t xml:space="preserve"> Plus, </w:t>
    </w:r>
    <w:proofErr w:type="spellStart"/>
    <w:r w:rsidRPr="00F969E2">
      <w:rPr>
        <w:color w:val="767171"/>
        <w:sz w:val="16"/>
        <w:szCs w:val="16"/>
      </w:rPr>
      <w:t>Elanco</w:t>
    </w:r>
    <w:proofErr w:type="spellEnd"/>
    <w:r w:rsidRPr="00F969E2">
      <w:rPr>
        <w:color w:val="767171"/>
        <w:sz w:val="16"/>
        <w:szCs w:val="16"/>
      </w:rPr>
      <w:t xml:space="preserve"> y la barra diagonal son marcas registradas de </w:t>
    </w:r>
    <w:proofErr w:type="spellStart"/>
    <w:r w:rsidRPr="00F969E2">
      <w:rPr>
        <w:color w:val="767171"/>
        <w:sz w:val="16"/>
        <w:szCs w:val="16"/>
      </w:rPr>
      <w:t>Elanco</w:t>
    </w:r>
    <w:proofErr w:type="spellEnd"/>
    <w:r w:rsidRPr="00F969E2">
      <w:rPr>
        <w:color w:val="767171"/>
        <w:sz w:val="16"/>
        <w:szCs w:val="16"/>
      </w:rPr>
      <w:t xml:space="preserve"> o sus filiales. ©2025</w:t>
    </w:r>
  </w:p>
  <w:p w14:paraId="1F2CF3F6" w14:textId="4C750D1B" w:rsidR="00ED5919" w:rsidRDefault="00F969E2" w:rsidP="00F969E2">
    <w:pPr>
      <w:pBdr>
        <w:top w:val="nil"/>
        <w:left w:val="nil"/>
        <w:bottom w:val="nil"/>
        <w:right w:val="nil"/>
        <w:between w:val="nil"/>
      </w:pBdr>
      <w:tabs>
        <w:tab w:val="center" w:pos="4252"/>
        <w:tab w:val="right" w:pos="8504"/>
      </w:tabs>
      <w:spacing w:after="0" w:line="240" w:lineRule="auto"/>
      <w:rPr>
        <w:color w:val="767171"/>
        <w:sz w:val="16"/>
        <w:szCs w:val="16"/>
      </w:rPr>
    </w:pPr>
    <w:proofErr w:type="spellStart"/>
    <w:r w:rsidRPr="00F969E2">
      <w:rPr>
        <w:color w:val="767171"/>
        <w:sz w:val="16"/>
        <w:szCs w:val="16"/>
      </w:rPr>
      <w:t>Elanco</w:t>
    </w:r>
    <w:proofErr w:type="spellEnd"/>
    <w:r w:rsidRPr="00F969E2">
      <w:rPr>
        <w:color w:val="767171"/>
        <w:sz w:val="16"/>
        <w:szCs w:val="16"/>
      </w:rPr>
      <w:t xml:space="preserve"> o sus filiales. PM-ES-25-0326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ECEDE" w14:textId="77777777" w:rsidR="00ED5919" w:rsidRDefault="00ED5919">
      <w:pPr>
        <w:spacing w:after="0" w:line="240" w:lineRule="auto"/>
      </w:pPr>
      <w:r>
        <w:separator/>
      </w:r>
    </w:p>
  </w:footnote>
  <w:footnote w:type="continuationSeparator" w:id="0">
    <w:p w14:paraId="12A7AE63" w14:textId="77777777" w:rsidR="00ED5919" w:rsidRDefault="00ED59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ED5919" w:rsidRDefault="00ED5919">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ED5919" w:rsidRDefault="00ED5919">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r>
    <w:r>
      <w:rPr>
        <w:b/>
        <w:color w:val="2E75B5"/>
        <w:sz w:val="32"/>
        <w:szCs w:val="32"/>
      </w:rP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476BE"/>
    <w:rsid w:val="000C302C"/>
    <w:rsid w:val="00746941"/>
    <w:rsid w:val="007F537F"/>
    <w:rsid w:val="00A357C0"/>
    <w:rsid w:val="00AB38DC"/>
    <w:rsid w:val="00C046D2"/>
    <w:rsid w:val="00C94DAB"/>
    <w:rsid w:val="00D1564B"/>
    <w:rsid w:val="00E04B17"/>
    <w:rsid w:val="00E61E6D"/>
    <w:rsid w:val="00ED5919"/>
    <w:rsid w:val="00F476BE"/>
    <w:rsid w:val="00F969E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0"/>
    <w:next w:val="normal0"/>
    <w:pPr>
      <w:keepNext/>
      <w:keepLines/>
      <w:spacing w:before="480" w:after="120"/>
      <w:outlineLvl w:val="0"/>
    </w:pPr>
    <w:rPr>
      <w:b/>
      <w:sz w:val="48"/>
      <w:szCs w:val="48"/>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sz w:val="24"/>
      <w:szCs w:val="24"/>
    </w:rPr>
  </w:style>
  <w:style w:type="paragraph" w:styleId="Ttulo5">
    <w:name w:val="heading 5"/>
    <w:basedOn w:val="normal0"/>
    <w:next w:val="normal0"/>
    <w:pPr>
      <w:keepNext/>
      <w:keepLines/>
      <w:spacing w:before="220" w:after="40"/>
      <w:outlineLvl w:val="4"/>
    </w:pPr>
    <w:rPr>
      <w:b/>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style>
  <w:style w:type="paragraph" w:styleId="Ttulo1">
    <w:name w:val="heading 1"/>
    <w:basedOn w:val="normal0"/>
    <w:next w:val="normal0"/>
    <w:pPr>
      <w:keepNext/>
      <w:keepLines/>
      <w:spacing w:before="480" w:after="120"/>
      <w:outlineLvl w:val="0"/>
    </w:pPr>
    <w:rPr>
      <w:b/>
      <w:sz w:val="48"/>
      <w:szCs w:val="48"/>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sz w:val="24"/>
      <w:szCs w:val="24"/>
    </w:rPr>
  </w:style>
  <w:style w:type="paragraph" w:styleId="Ttulo5">
    <w:name w:val="heading 5"/>
    <w:basedOn w:val="normal0"/>
    <w:next w:val="normal0"/>
    <w:pPr>
      <w:keepNext/>
      <w:keepLines/>
      <w:spacing w:before="220" w:after="40"/>
      <w:outlineLvl w:val="4"/>
    </w:pPr>
    <w:rPr>
      <w:b/>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vetnia.es/bromitas"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elanco.com/es-latam" TargetMode="Externa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712</Words>
  <Characters>3917</Characters>
  <Application>Microsoft Macintosh Word</Application>
  <DocSecurity>0</DocSecurity>
  <Lines>32</Lines>
  <Paragraphs>9</Paragraphs>
  <ScaleCrop>false</ScaleCrop>
  <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2</cp:revision>
  <dcterms:created xsi:type="dcterms:W3CDTF">2025-06-12T09:36:00Z</dcterms:created>
  <dcterms:modified xsi:type="dcterms:W3CDTF">2025-06-12T09:36:00Z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