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A8F1" w14:textId="24E17686" w:rsidR="12874709" w:rsidRDefault="12874709" w:rsidP="004F7ACD">
      <w:pPr>
        <w:ind w:left="708"/>
        <w:jc w:val="center"/>
        <w:rPr>
          <w:rFonts w:eastAsiaTheme="minorEastAsia"/>
          <w:b/>
          <w:bCs/>
          <w:color w:val="000000" w:themeColor="text1"/>
          <w:sz w:val="40"/>
          <w:szCs w:val="40"/>
        </w:rPr>
      </w:pPr>
    </w:p>
    <w:p w14:paraId="0C5773C7" w14:textId="3AD6D66E" w:rsidR="12874709" w:rsidRDefault="001F3A16" w:rsidP="004F7ACD">
      <w:pPr>
        <w:pStyle w:val="Prrafodelista"/>
        <w:spacing w:before="240" w:after="240"/>
        <w:jc w:val="center"/>
        <w:rPr>
          <w:rFonts w:ascii="Calibri" w:eastAsia="Calibri" w:hAnsi="Calibri" w:cs="Calibri"/>
          <w:b/>
          <w:bCs/>
        </w:rPr>
      </w:pPr>
      <w:r>
        <w:rPr>
          <w:rFonts w:eastAsiaTheme="minorEastAsia"/>
          <w:b/>
          <w:bCs/>
          <w:color w:val="000000" w:themeColor="text1"/>
          <w:sz w:val="40"/>
          <w:szCs w:val="40"/>
        </w:rPr>
        <w:t>Empezar el año cuidando de</w:t>
      </w:r>
      <w:r w:rsidR="00AC789C" w:rsidRPr="00AC789C">
        <w:rPr>
          <w:rFonts w:eastAsiaTheme="minorEastAsia"/>
          <w:b/>
          <w:bCs/>
          <w:color w:val="000000" w:themeColor="text1"/>
          <w:sz w:val="40"/>
          <w:szCs w:val="40"/>
        </w:rPr>
        <w:t xml:space="preserve"> </w:t>
      </w:r>
      <w:r w:rsidR="00AC789C">
        <w:rPr>
          <w:rFonts w:eastAsiaTheme="minorEastAsia"/>
          <w:b/>
          <w:bCs/>
          <w:color w:val="000000" w:themeColor="text1"/>
          <w:sz w:val="40"/>
          <w:szCs w:val="40"/>
        </w:rPr>
        <w:t>nuestras mascotas</w:t>
      </w:r>
      <w:r w:rsidR="00AC789C" w:rsidRPr="00AC789C">
        <w:rPr>
          <w:rFonts w:eastAsiaTheme="minorEastAsia"/>
          <w:b/>
          <w:bCs/>
          <w:color w:val="000000" w:themeColor="text1"/>
          <w:sz w:val="40"/>
          <w:szCs w:val="40"/>
        </w:rPr>
        <w:t>: la visita al veterinario</w:t>
      </w:r>
      <w:r w:rsidR="004C41FB">
        <w:rPr>
          <w:rFonts w:eastAsiaTheme="minorEastAsia"/>
          <w:b/>
          <w:bCs/>
          <w:color w:val="000000" w:themeColor="text1"/>
          <w:sz w:val="40"/>
          <w:szCs w:val="40"/>
        </w:rPr>
        <w:t xml:space="preserve"> es</w:t>
      </w:r>
      <w:r w:rsidR="00AC789C" w:rsidRPr="00AC789C">
        <w:rPr>
          <w:rFonts w:eastAsiaTheme="minorEastAsia"/>
          <w:b/>
          <w:bCs/>
          <w:color w:val="000000" w:themeColor="text1"/>
          <w:sz w:val="40"/>
          <w:szCs w:val="40"/>
        </w:rPr>
        <w:t xml:space="preserve"> </w:t>
      </w:r>
      <w:r>
        <w:rPr>
          <w:rFonts w:eastAsiaTheme="minorEastAsia"/>
          <w:b/>
          <w:bCs/>
          <w:color w:val="000000" w:themeColor="text1"/>
          <w:sz w:val="40"/>
          <w:szCs w:val="40"/>
        </w:rPr>
        <w:t>clave</w:t>
      </w:r>
      <w:r w:rsidR="00AC789C" w:rsidRPr="00AC789C">
        <w:rPr>
          <w:rFonts w:eastAsiaTheme="minorEastAsia"/>
          <w:b/>
          <w:bCs/>
          <w:color w:val="000000" w:themeColor="text1"/>
          <w:sz w:val="40"/>
          <w:szCs w:val="40"/>
        </w:rPr>
        <w:t xml:space="preserve"> </w:t>
      </w:r>
      <w:r w:rsidR="00C9065B">
        <w:rPr>
          <w:rFonts w:eastAsiaTheme="minorEastAsia"/>
          <w:b/>
          <w:bCs/>
          <w:color w:val="000000" w:themeColor="text1"/>
          <w:sz w:val="40"/>
          <w:szCs w:val="40"/>
        </w:rPr>
        <w:t>en el</w:t>
      </w:r>
      <w:r w:rsidR="00AC789C" w:rsidRPr="00AC789C">
        <w:rPr>
          <w:rFonts w:eastAsiaTheme="minorEastAsia"/>
          <w:b/>
          <w:bCs/>
          <w:color w:val="000000" w:themeColor="text1"/>
          <w:sz w:val="40"/>
          <w:szCs w:val="40"/>
        </w:rPr>
        <w:t xml:space="preserve"> bienestar animal</w:t>
      </w:r>
    </w:p>
    <w:p w14:paraId="50C54736" w14:textId="4190FA65" w:rsidR="445E1887" w:rsidRDefault="001127F6" w:rsidP="004F7ACD">
      <w:pPr>
        <w:pStyle w:val="Prrafodelista"/>
        <w:numPr>
          <w:ilvl w:val="0"/>
          <w:numId w:val="1"/>
        </w:numPr>
        <w:spacing w:before="240" w:after="240"/>
        <w:jc w:val="both"/>
        <w:rPr>
          <w:rFonts w:ascii="Calibri" w:eastAsia="Calibri" w:hAnsi="Calibri" w:cs="Calibri"/>
          <w:b/>
          <w:bCs/>
        </w:rPr>
      </w:pPr>
      <w:r>
        <w:rPr>
          <w:rFonts w:ascii="Calibri" w:eastAsia="Calibri" w:hAnsi="Calibri" w:cs="Calibri"/>
          <w:b/>
          <w:bCs/>
        </w:rPr>
        <w:t>Una visita</w:t>
      </w:r>
      <w:r w:rsidR="445E1887" w:rsidRPr="12874709">
        <w:rPr>
          <w:rFonts w:ascii="Calibri" w:eastAsia="Calibri" w:hAnsi="Calibri" w:cs="Calibri"/>
          <w:b/>
          <w:bCs/>
        </w:rPr>
        <w:t xml:space="preserve"> veterinari</w:t>
      </w:r>
      <w:r>
        <w:rPr>
          <w:rFonts w:ascii="Calibri" w:eastAsia="Calibri" w:hAnsi="Calibri" w:cs="Calibri"/>
          <w:b/>
          <w:bCs/>
        </w:rPr>
        <w:t>a</w:t>
      </w:r>
      <w:r w:rsidR="445E1887" w:rsidRPr="12874709">
        <w:rPr>
          <w:rFonts w:ascii="Calibri" w:eastAsia="Calibri" w:hAnsi="Calibri" w:cs="Calibri"/>
          <w:b/>
          <w:bCs/>
        </w:rPr>
        <w:t xml:space="preserve"> a comienzos de año permite evaluar el estado general de las mascotas y establecer un plan de salud personalizado, incluyendo cuidados preventivos, control del peso, salud dental y la detección precoz de posibles problemas, evitando complicaciones futuras</w:t>
      </w:r>
    </w:p>
    <w:p w14:paraId="613B1B03" w14:textId="5F7EBAF7" w:rsidR="12874709" w:rsidRDefault="12874709" w:rsidP="004F7ACD">
      <w:pPr>
        <w:pStyle w:val="Prrafodelista"/>
        <w:spacing w:before="240" w:after="240"/>
        <w:jc w:val="both"/>
        <w:rPr>
          <w:rFonts w:ascii="Calibri" w:eastAsia="Calibri" w:hAnsi="Calibri" w:cs="Calibri"/>
          <w:b/>
          <w:bCs/>
        </w:rPr>
      </w:pPr>
    </w:p>
    <w:p w14:paraId="2FEC4DBE" w14:textId="2CC2A06B" w:rsidR="12874709" w:rsidRPr="002E4FCB" w:rsidRDefault="445E1887" w:rsidP="004F7ACD">
      <w:pPr>
        <w:pStyle w:val="Prrafodelista"/>
        <w:numPr>
          <w:ilvl w:val="0"/>
          <w:numId w:val="1"/>
        </w:numPr>
        <w:spacing w:before="240" w:after="240"/>
        <w:jc w:val="both"/>
        <w:rPr>
          <w:b/>
          <w:bCs/>
        </w:rPr>
      </w:pPr>
      <w:r w:rsidRPr="12874709">
        <w:rPr>
          <w:rFonts w:ascii="Calibri" w:eastAsia="Calibri" w:hAnsi="Calibri" w:cs="Calibri"/>
          <w:b/>
          <w:bCs/>
        </w:rPr>
        <w:t xml:space="preserve">El asesoramiento profesional y el uso responsable de los antibióticos, siempre bajo prescripción veterinaria, son clave para proteger la salud de los animales y prevenir la aparición de resistencias antimicrobianas, apostando por la prevención </w:t>
      </w:r>
      <w:r w:rsidR="005F28F2">
        <w:rPr>
          <w:rFonts w:ascii="Calibri" w:eastAsia="Calibri" w:hAnsi="Calibri" w:cs="Calibri"/>
          <w:b/>
          <w:bCs/>
        </w:rPr>
        <w:t>y por dar un tratamiento más individualizado a cada paciente</w:t>
      </w:r>
    </w:p>
    <w:p w14:paraId="188C0022" w14:textId="2F142039" w:rsidR="003F005A" w:rsidRPr="003F005A" w:rsidRDefault="00E865A0" w:rsidP="004F7ACD">
      <w:pPr>
        <w:jc w:val="both"/>
      </w:pPr>
      <w:r w:rsidRPr="12874709">
        <w:rPr>
          <w:b/>
          <w:bCs/>
        </w:rPr>
        <w:t xml:space="preserve">Madrid, </w:t>
      </w:r>
      <w:r w:rsidR="0086543A">
        <w:rPr>
          <w:b/>
          <w:bCs/>
        </w:rPr>
        <w:t>22</w:t>
      </w:r>
      <w:r w:rsidR="004C41FB">
        <w:rPr>
          <w:b/>
          <w:bCs/>
        </w:rPr>
        <w:t xml:space="preserve"> de enero de 202</w:t>
      </w:r>
      <w:r w:rsidR="003D0075">
        <w:rPr>
          <w:b/>
          <w:bCs/>
        </w:rPr>
        <w:t>6</w:t>
      </w:r>
      <w:r>
        <w:t xml:space="preserve"> – </w:t>
      </w:r>
      <w:r w:rsidR="003F005A" w:rsidRPr="003F005A">
        <w:t xml:space="preserve">El inicio de un nuevo año suele ir acompañado de buenos propósitos relacionados con la salud y el bienestar. Este momento de “volver a la rutina” es también una oportunidad clave para prestar atención a </w:t>
      </w:r>
      <w:r w:rsidR="0073354E">
        <w:t>nuestras mascotas</w:t>
      </w:r>
      <w:r w:rsidR="003F005A" w:rsidRPr="003F005A">
        <w:t xml:space="preserve">, </w:t>
      </w:r>
      <w:r w:rsidR="0073354E">
        <w:t xml:space="preserve">ya que </w:t>
      </w:r>
      <w:r w:rsidR="003F005A" w:rsidRPr="003F005A">
        <w:t xml:space="preserve">pueden verse </w:t>
      </w:r>
      <w:r w:rsidR="0073354E">
        <w:t>afectadas</w:t>
      </w:r>
      <w:r w:rsidR="003F005A" w:rsidRPr="003F005A">
        <w:t xml:space="preserve"> </w:t>
      </w:r>
      <w:r w:rsidR="0073354E">
        <w:t xml:space="preserve">por </w:t>
      </w:r>
      <w:r w:rsidR="00791880">
        <w:t>los cambios en las fiestas.</w:t>
      </w:r>
      <w:r w:rsidR="003F005A" w:rsidRPr="003F005A">
        <w:t xml:space="preserve"> Desde </w:t>
      </w:r>
      <w:hyperlink r:id="rId10" w:history="1">
        <w:r w:rsidR="003F005A" w:rsidRPr="00482CDF">
          <w:rPr>
            <w:rStyle w:val="Hipervnculo"/>
          </w:rPr>
          <w:t>AniCura</w:t>
        </w:r>
      </w:hyperlink>
      <w:r w:rsidR="003F005A" w:rsidRPr="003F005A">
        <w:t xml:space="preserve">, red de clínicas veterinarias especializada en el cuidado integral de animales, recuerdan que comenzar el año con una visita al veterinario es una de las formas más eficaces de cuidar la salud de las mascotas </w:t>
      </w:r>
      <w:r w:rsidR="005F28F2">
        <w:t>y prevenir problemas futuros.</w:t>
      </w:r>
    </w:p>
    <w:p w14:paraId="70E88046" w14:textId="2C6145FF" w:rsidR="000A19F1" w:rsidRDefault="00D33DDB" w:rsidP="004F7ACD">
      <w:pPr>
        <w:jc w:val="both"/>
      </w:pPr>
      <w:r w:rsidRPr="002E4FCB">
        <w:rPr>
          <w:i/>
          <w:iCs/>
        </w:rPr>
        <w:t xml:space="preserve">“Tras las fiestas, es importante </w:t>
      </w:r>
      <w:r w:rsidR="005F28F2">
        <w:rPr>
          <w:i/>
          <w:iCs/>
        </w:rPr>
        <w:t>evaluar</w:t>
      </w:r>
      <w:r w:rsidRPr="002E4FCB">
        <w:rPr>
          <w:i/>
          <w:iCs/>
        </w:rPr>
        <w:t xml:space="preserve"> que la mascota se encuentra en buen estado físico, con su</w:t>
      </w:r>
      <w:r w:rsidR="005F28F2">
        <w:rPr>
          <w:i/>
          <w:iCs/>
        </w:rPr>
        <w:t xml:space="preserve"> pauta de vacunación y desparasitación </w:t>
      </w:r>
      <w:r w:rsidRPr="002E4FCB">
        <w:rPr>
          <w:i/>
          <w:iCs/>
        </w:rPr>
        <w:t>al día, y que no ha habido cambios negativos en su peso o comportamiento”,</w:t>
      </w:r>
      <w:r w:rsidRPr="00D33DDB">
        <w:t xml:space="preserve"> </w:t>
      </w:r>
      <w:r w:rsidRPr="0086543A">
        <w:t xml:space="preserve">explica </w:t>
      </w:r>
      <w:r w:rsidR="0086543A" w:rsidRPr="0086543A">
        <w:rPr>
          <w:b/>
          <w:bCs/>
        </w:rPr>
        <w:t xml:space="preserve">Paloma Ballester, </w:t>
      </w:r>
      <w:proofErr w:type="spellStart"/>
      <w:r w:rsidR="0086543A" w:rsidRPr="0086543A">
        <w:rPr>
          <w:b/>
          <w:bCs/>
        </w:rPr>
        <w:t>Practice</w:t>
      </w:r>
      <w:proofErr w:type="spellEnd"/>
      <w:r w:rsidR="0086543A" w:rsidRPr="0086543A">
        <w:rPr>
          <w:b/>
          <w:bCs/>
        </w:rPr>
        <w:t xml:space="preserve"> Manager de</w:t>
      </w:r>
      <w:r w:rsidR="0086543A" w:rsidRPr="00064FB2">
        <w:rPr>
          <w:b/>
          <w:bCs/>
        </w:rPr>
        <w:t xml:space="preserve"> </w:t>
      </w:r>
      <w:hyperlink r:id="rId11" w:history="1">
        <w:r w:rsidR="0086543A" w:rsidRPr="00064FB2">
          <w:rPr>
            <w:rStyle w:val="Hipervnculo"/>
            <w:b/>
            <w:bCs/>
          </w:rPr>
          <w:t>AniCura Velázquez Hospital Veterinario</w:t>
        </w:r>
      </w:hyperlink>
      <w:r w:rsidR="0086543A" w:rsidRPr="0086543A">
        <w:t>.</w:t>
      </w:r>
      <w:r w:rsidRPr="0086543A">
        <w:t xml:space="preserve"> Un</w:t>
      </w:r>
      <w:r w:rsidRPr="00D33DDB">
        <w:t xml:space="preserve"> chequeo general permite detectar de forma temprana posibles problemas de salud, prevenir enfermedades y recibir recomendaciones personalizadas sobre alimentación, ejercicio</w:t>
      </w:r>
      <w:r w:rsidR="005F28F2">
        <w:t xml:space="preserve">, salud dental </w:t>
      </w:r>
      <w:r w:rsidRPr="00D33DDB">
        <w:t xml:space="preserve">y </w:t>
      </w:r>
      <w:r w:rsidR="005F28F2">
        <w:t xml:space="preserve">los </w:t>
      </w:r>
      <w:r w:rsidRPr="00D33DDB">
        <w:t>cuidados</w:t>
      </w:r>
      <w:r w:rsidR="005F28F2">
        <w:t xml:space="preserve"> más necesarios en función de </w:t>
      </w:r>
      <w:r w:rsidRPr="00D33DDB">
        <w:t>la edad y características de cada animal.</w:t>
      </w:r>
    </w:p>
    <w:p w14:paraId="281BEBD7" w14:textId="54366F98" w:rsidR="00E865A0" w:rsidRDefault="003C1EBE" w:rsidP="004F7ACD">
      <w:pPr>
        <w:jc w:val="both"/>
        <w:rPr>
          <w:b/>
          <w:bCs/>
        </w:rPr>
      </w:pPr>
      <w:r>
        <w:rPr>
          <w:b/>
          <w:bCs/>
        </w:rPr>
        <w:t>Visita al veterinario tras las fiestas</w:t>
      </w:r>
      <w:r w:rsidR="00E865A0" w:rsidRPr="00E865A0">
        <w:rPr>
          <w:b/>
          <w:bCs/>
        </w:rPr>
        <w:t xml:space="preserve">: </w:t>
      </w:r>
      <w:r w:rsidR="00E92237">
        <w:rPr>
          <w:b/>
          <w:bCs/>
        </w:rPr>
        <w:t xml:space="preserve">un </w:t>
      </w:r>
      <w:r w:rsidR="00E865A0" w:rsidRPr="00E865A0">
        <w:rPr>
          <w:b/>
          <w:bCs/>
        </w:rPr>
        <w:t>pequeño gesto, gran impacto en su salud</w:t>
      </w:r>
    </w:p>
    <w:p w14:paraId="673939DE" w14:textId="27424528" w:rsidR="000E7228" w:rsidRPr="00652C0F" w:rsidRDefault="000E7228" w:rsidP="004F7ACD">
      <w:pPr>
        <w:jc w:val="both"/>
      </w:pPr>
      <w:r w:rsidRPr="00652C0F">
        <w:t xml:space="preserve">Durante esta revisión de Año Nuevo, el veterinario puede planificar de manera responsable el calendario de cuidados preventivos de los próximos meses, incluyendo vacunación, desparasitación y protección estacional. También se valoran aspectos como el control de peso, la nutrición y la necesidad de realizar </w:t>
      </w:r>
      <w:r w:rsidR="005F28F2">
        <w:t xml:space="preserve">chequeos </w:t>
      </w:r>
      <w:r w:rsidRPr="00652C0F">
        <w:t>rutinari</w:t>
      </w:r>
      <w:r w:rsidR="00A16309">
        <w:t>o</w:t>
      </w:r>
      <w:r w:rsidRPr="00652C0F">
        <w:t>s como análisis de sangre,</w:t>
      </w:r>
      <w:r w:rsidR="005F28F2">
        <w:t xml:space="preserve"> de heces, orina</w:t>
      </w:r>
      <w:r w:rsidR="00A16309">
        <w:t xml:space="preserve"> y </w:t>
      </w:r>
      <w:r w:rsidR="005F28F2">
        <w:t xml:space="preserve">valorar el estado de </w:t>
      </w:r>
      <w:r w:rsidR="005F28F2">
        <w:lastRenderedPageBreak/>
        <w:t xml:space="preserve">la boca. En </w:t>
      </w:r>
      <w:r w:rsidRPr="00652C0F">
        <w:t>animales adultos o senior</w:t>
      </w:r>
      <w:r w:rsidR="005F28F2">
        <w:t xml:space="preserve"> (a partir de los 9 años)</w:t>
      </w:r>
      <w:r w:rsidRPr="00652C0F">
        <w:t xml:space="preserve"> </w:t>
      </w:r>
      <w:r w:rsidR="005F28F2">
        <w:t>es especialmente importante realizar estos controles, para poder prevenir problemas futuros y realizar un diagnóstico más temprano de las patologías</w:t>
      </w:r>
      <w:r w:rsidR="00A16309">
        <w:t xml:space="preserve"> futuras que pueda desarrollar</w:t>
      </w:r>
      <w:r w:rsidR="005F28F2">
        <w:t>.</w:t>
      </w:r>
      <w:r w:rsidRPr="00652C0F">
        <w:t xml:space="preserve"> </w:t>
      </w:r>
      <w:r w:rsidR="00A16309">
        <w:t xml:space="preserve"> </w:t>
      </w:r>
      <w:r w:rsidRPr="005C4C9D">
        <w:rPr>
          <w:i/>
          <w:iCs/>
        </w:rPr>
        <w:t>“La prevención nos permite adelantarnos a enfermedades que, si se detectan a tiempo, pueden tratarse de forma más sencilla y con mejores resultados”,</w:t>
      </w:r>
      <w:r w:rsidRPr="00652C0F">
        <w:t xml:space="preserve"> añade </w:t>
      </w:r>
      <w:r w:rsidR="0086543A" w:rsidRPr="0086543A">
        <w:rPr>
          <w:b/>
          <w:bCs/>
        </w:rPr>
        <w:t>Paloma Ballester</w:t>
      </w:r>
      <w:r w:rsidRPr="00652C0F">
        <w:t>.</w:t>
      </w:r>
    </w:p>
    <w:p w14:paraId="79E9C799" w14:textId="43C90378" w:rsidR="00613495" w:rsidRPr="00652C0F" w:rsidRDefault="00A76312" w:rsidP="004F7ACD">
      <w:pPr>
        <w:jc w:val="both"/>
      </w:pPr>
      <w:r>
        <w:t>Los veterinarios de</w:t>
      </w:r>
      <w:r w:rsidR="00613495" w:rsidRPr="00652C0F">
        <w:t xml:space="preserve"> AniCura insisten además en la importancia de la salud dental y oral, un aspecto que con frecuencia se pasa por alto. Las enfermedades dentales evolucionan </w:t>
      </w:r>
      <w:r w:rsidR="00A16309">
        <w:t xml:space="preserve">con el tiempo, y si no se va realizando un mantenimiento preventivo, la enfermedad periodontal puede progresar hasta producir situaciones que </w:t>
      </w:r>
      <w:r w:rsidR="00613495" w:rsidRPr="00652C0F">
        <w:t>caus</w:t>
      </w:r>
      <w:r w:rsidR="00A16309">
        <w:t xml:space="preserve">en un gran </w:t>
      </w:r>
      <w:r w:rsidR="00613495" w:rsidRPr="00652C0F">
        <w:t>dolor</w:t>
      </w:r>
      <w:r w:rsidR="00A16309">
        <w:t xml:space="preserve"> a nuestro animal</w:t>
      </w:r>
      <w:r w:rsidR="00613495" w:rsidRPr="00652C0F">
        <w:t>, infecciones</w:t>
      </w:r>
      <w:r w:rsidR="00A16309">
        <w:t xml:space="preserve"> secundarias que pueden complicarse, pérdida de piezas dentarias</w:t>
      </w:r>
      <w:r w:rsidR="00613495" w:rsidRPr="00652C0F">
        <w:t xml:space="preserve"> y complicaciones más graves si no se tratan a tiempo. </w:t>
      </w:r>
      <w:r w:rsidR="00613495" w:rsidRPr="008965B4">
        <w:rPr>
          <w:i/>
          <w:iCs/>
        </w:rPr>
        <w:t>“Una revisión bucal anual puede marcar una gran diferencia en la calidad de vida del animal y evitar</w:t>
      </w:r>
      <w:r w:rsidR="00A16309">
        <w:rPr>
          <w:i/>
          <w:iCs/>
        </w:rPr>
        <w:t xml:space="preserve"> la pérdida de piezas dentarias e</w:t>
      </w:r>
      <w:r w:rsidR="00613495" w:rsidRPr="008965B4">
        <w:rPr>
          <w:i/>
          <w:iCs/>
        </w:rPr>
        <w:t xml:space="preserve"> intervenciones más complejas en el futuro”</w:t>
      </w:r>
      <w:r w:rsidR="00613495" w:rsidRPr="00652C0F">
        <w:t xml:space="preserve">, señala </w:t>
      </w:r>
      <w:r w:rsidR="0086543A" w:rsidRPr="0086543A">
        <w:rPr>
          <w:b/>
          <w:bCs/>
        </w:rPr>
        <w:t>Paloma Ballester</w:t>
      </w:r>
      <w:r w:rsidR="00613495" w:rsidRPr="00652C0F">
        <w:t>.</w:t>
      </w:r>
    </w:p>
    <w:p w14:paraId="02269A25" w14:textId="77777777" w:rsidR="002E4FCB" w:rsidRPr="002E4FCB" w:rsidRDefault="002E4FCB" w:rsidP="004F7ACD">
      <w:pPr>
        <w:jc w:val="both"/>
        <w:rPr>
          <w:b/>
          <w:bCs/>
        </w:rPr>
      </w:pPr>
      <w:r w:rsidRPr="002E4FCB">
        <w:rPr>
          <w:b/>
          <w:bCs/>
        </w:rPr>
        <w:t>Cuidar hoy para prevenir mañana</w:t>
      </w:r>
    </w:p>
    <w:p w14:paraId="1DF4387D" w14:textId="77777777" w:rsidR="002E4FCB" w:rsidRPr="00652C0F" w:rsidRDefault="002E4FCB" w:rsidP="004F7ACD">
      <w:pPr>
        <w:jc w:val="both"/>
      </w:pPr>
      <w:r w:rsidRPr="00652C0F">
        <w:t xml:space="preserve">El acompañamiento de un veterinario permite establecer rutinas saludables adaptadas a cada mascota, sin cambios drásticos y apostando por la constancia. Como parte de Mars </w:t>
      </w:r>
      <w:proofErr w:type="spellStart"/>
      <w:r w:rsidRPr="00652C0F">
        <w:t>Veterinary</w:t>
      </w:r>
      <w:proofErr w:type="spellEnd"/>
      <w:r w:rsidRPr="00652C0F">
        <w:t xml:space="preserve"> Health, AniCura recuerda también la importancia de no automedicar a los animales y de acudir siempre al profesional ante cualquier problema de salud. El uso responsable de antibióticos —solo cuando son necesarios y siguiendo estrictamente la pauta prescrita— es fundamental para proteger a las mascotas y prevenir la aparición de resistencias antimicrobianas.</w:t>
      </w:r>
    </w:p>
    <w:p w14:paraId="3D27CBFC" w14:textId="65EDD795" w:rsidR="002E4FCB" w:rsidRPr="00652C0F" w:rsidRDefault="002E4FCB" w:rsidP="004F7ACD">
      <w:pPr>
        <w:jc w:val="both"/>
      </w:pPr>
      <w:r w:rsidRPr="00652C0F">
        <w:t xml:space="preserve">Dedicar tiempo a la salud de perros y gatos al comenzar el año no solo ayuda a prevenir problemas futuros, sino que también refuerza el vínculo con sus familias. </w:t>
      </w:r>
      <w:r w:rsidR="00A76312">
        <w:t>En</w:t>
      </w:r>
      <w:r w:rsidRPr="00652C0F">
        <w:t xml:space="preserve"> AniCura, los profesionales acompañan a los </w:t>
      </w:r>
      <w:r w:rsidR="00703788">
        <w:t>cuidadores</w:t>
      </w:r>
      <w:r w:rsidRPr="00652C0F">
        <w:t xml:space="preserve"> en cada etapa, ofreciendo un enfoque integral que sitúa el bienestar animal en el centro. Porque cuidar hoy de quienes siempre nos cuidan es, sin duda, uno de los mejores propósitos para empezar el año.</w:t>
      </w:r>
    </w:p>
    <w:p w14:paraId="1DA85E57" w14:textId="080F3024" w:rsidR="12874709" w:rsidRDefault="12874709" w:rsidP="004F7ACD">
      <w:pPr>
        <w:spacing w:after="0" w:line="259" w:lineRule="auto"/>
        <w:jc w:val="both"/>
        <w:rPr>
          <w:rFonts w:ascii="Calibri" w:eastAsia="Calibri" w:hAnsi="Calibri" w:cs="Calibri"/>
          <w:color w:val="000000" w:themeColor="text1"/>
        </w:rPr>
      </w:pPr>
    </w:p>
    <w:p w14:paraId="4A8D173A" w14:textId="538669AD" w:rsidR="2B04462A" w:rsidRDefault="2B04462A" w:rsidP="004F7ACD">
      <w:pPr>
        <w:spacing w:after="0" w:line="259" w:lineRule="auto"/>
        <w:jc w:val="both"/>
        <w:rPr>
          <w:rFonts w:ascii="Calibri" w:eastAsia="Calibri" w:hAnsi="Calibri" w:cs="Calibri"/>
          <w:color w:val="000000" w:themeColor="text1"/>
          <w:sz w:val="20"/>
          <w:szCs w:val="20"/>
        </w:rPr>
      </w:pPr>
      <w:r w:rsidRPr="12874709">
        <w:rPr>
          <w:rStyle w:val="Ninguno"/>
          <w:rFonts w:ascii="Calibri" w:eastAsia="Calibri" w:hAnsi="Calibri" w:cs="Calibri"/>
          <w:b/>
          <w:bCs/>
          <w:color w:val="000000" w:themeColor="text1"/>
          <w:sz w:val="20"/>
          <w:szCs w:val="20"/>
        </w:rPr>
        <w:t xml:space="preserve">Sobre AniCura </w:t>
      </w:r>
    </w:p>
    <w:p w14:paraId="7C50DB4E" w14:textId="31035A69" w:rsidR="2B04462A" w:rsidRDefault="2B04462A" w:rsidP="004F7ACD">
      <w:pPr>
        <w:spacing w:line="256" w:lineRule="auto"/>
        <w:jc w:val="both"/>
        <w:rPr>
          <w:rFonts w:ascii="Calibri" w:eastAsia="Calibri" w:hAnsi="Calibri" w:cs="Calibri"/>
          <w:color w:val="000000" w:themeColor="text1"/>
          <w:sz w:val="18"/>
          <w:szCs w:val="18"/>
        </w:rPr>
      </w:pPr>
      <w:r w:rsidRPr="12874709">
        <w:rPr>
          <w:rStyle w:val="Ninguno"/>
          <w:rFonts w:ascii="Calibri" w:eastAsia="Calibri" w:hAnsi="Calibri" w:cs="Calibri"/>
          <w:color w:val="000000" w:themeColor="text1"/>
          <w:sz w:val="18"/>
          <w:szCs w:val="18"/>
        </w:rPr>
        <w:t>AniCura es un grupo de clínicas, centros de referencia y hospitales veterinarios especializados en animales de compañía. La empresa, que surgió con la idea de brindar una mejor asistencia veterinaria aunando recursos, inició su andadura en 2011 fruto de la primera fusión de hospitales veterinarios en los países nórdicos. La compañía cuenta con 490 clínicas alrededor de Europa, 79 de ellas en Iberia, y con 12.000 trabajadores, de los cuales cerca de 1.900 trabajan en la península, y atiende anualmente a más de tres millones y medio de pacientes.</w:t>
      </w:r>
    </w:p>
    <w:p w14:paraId="21C1BF06" w14:textId="67F17142" w:rsidR="12874709" w:rsidRDefault="2B04462A" w:rsidP="004F7ACD">
      <w:pPr>
        <w:spacing w:line="259" w:lineRule="auto"/>
        <w:jc w:val="both"/>
        <w:rPr>
          <w:rFonts w:ascii="Calibri" w:eastAsia="Calibri" w:hAnsi="Calibri" w:cs="Calibri"/>
          <w:color w:val="000000" w:themeColor="text1"/>
        </w:rPr>
      </w:pPr>
      <w:r w:rsidRPr="12874709">
        <w:rPr>
          <w:rStyle w:val="Ninguno"/>
          <w:rFonts w:ascii="Calibri" w:eastAsia="Calibri" w:hAnsi="Calibri" w:cs="Calibri"/>
          <w:color w:val="000000" w:themeColor="text1"/>
          <w:sz w:val="18"/>
          <w:szCs w:val="18"/>
        </w:rPr>
        <w:t xml:space="preserve">AniCura ofrece una amplia gama de servicios médicos y quirúrgicos: cuidados preventivos y atención primaria, diagnósticos avanzados, medicina interna, cuidados intensivos, cardiología, cirugía general, ortopedia, etc. Ofrecemos también rehabilitación, fisioterapia y asesoramiento dietético, así como alimentación y complementos para el cuidado de las mascotas. Desde 2018, AniCura forma parte de Mars </w:t>
      </w:r>
      <w:proofErr w:type="spellStart"/>
      <w:r w:rsidRPr="12874709">
        <w:rPr>
          <w:rStyle w:val="Ninguno"/>
          <w:rFonts w:ascii="Calibri" w:eastAsia="Calibri" w:hAnsi="Calibri" w:cs="Calibri"/>
          <w:color w:val="000000" w:themeColor="text1"/>
          <w:sz w:val="18"/>
          <w:szCs w:val="18"/>
        </w:rPr>
        <w:t>Veterinary</w:t>
      </w:r>
      <w:proofErr w:type="spellEnd"/>
      <w:r w:rsidRPr="12874709">
        <w:rPr>
          <w:rStyle w:val="Ninguno"/>
          <w:rFonts w:ascii="Calibri" w:eastAsia="Calibri" w:hAnsi="Calibri" w:cs="Calibri"/>
          <w:color w:val="000000" w:themeColor="text1"/>
          <w:sz w:val="18"/>
          <w:szCs w:val="18"/>
        </w:rPr>
        <w:t xml:space="preserve"> Health, una empresa familiar centrada en la </w:t>
      </w:r>
      <w:r w:rsidRPr="12874709">
        <w:rPr>
          <w:rStyle w:val="Ninguno"/>
          <w:rFonts w:ascii="Calibri" w:eastAsia="Calibri" w:hAnsi="Calibri" w:cs="Calibri"/>
          <w:color w:val="000000" w:themeColor="text1"/>
          <w:sz w:val="18"/>
          <w:szCs w:val="18"/>
        </w:rPr>
        <w:lastRenderedPageBreak/>
        <w:t>atención veterinaria. Para obtener información sobre cómo AniCura está trabajando para dar forma al futuro de la atención veterinaria, visite nuestro sitio web </w:t>
      </w:r>
      <w:hyperlink r:id="rId12">
        <w:r w:rsidRPr="12874709">
          <w:rPr>
            <w:rStyle w:val="Hipervnculo"/>
            <w:rFonts w:ascii="Calibri" w:eastAsia="Calibri" w:hAnsi="Calibri" w:cs="Calibri"/>
            <w:color w:val="0000FF"/>
            <w:sz w:val="18"/>
            <w:szCs w:val="18"/>
          </w:rPr>
          <w:t>www.anicuragroup.com</w:t>
        </w:r>
      </w:hyperlink>
    </w:p>
    <w:p w14:paraId="67B6C29F" w14:textId="59906961" w:rsidR="65A25C4A" w:rsidRDefault="65A25C4A" w:rsidP="004F7ACD">
      <w:pPr>
        <w:spacing w:line="259" w:lineRule="auto"/>
        <w:jc w:val="both"/>
        <w:rPr>
          <w:rFonts w:ascii="Calibri" w:eastAsia="Calibri" w:hAnsi="Calibri" w:cs="Calibri"/>
          <w:color w:val="000000" w:themeColor="text1"/>
        </w:rPr>
      </w:pPr>
      <w:r w:rsidRPr="12874709">
        <w:rPr>
          <w:rStyle w:val="Ninguno"/>
          <w:rFonts w:ascii="Calibri" w:eastAsia="Calibri" w:hAnsi="Calibri" w:cs="Calibri"/>
          <w:b/>
          <w:bCs/>
          <w:color w:val="000000" w:themeColor="text1"/>
        </w:rPr>
        <w:t xml:space="preserve">Para más información y entrevistas: </w:t>
      </w:r>
    </w:p>
    <w:p w14:paraId="53EBBC63" w14:textId="3C29122E" w:rsidR="65A25C4A" w:rsidRDefault="65A25C4A" w:rsidP="004F7ACD">
      <w:pPr>
        <w:spacing w:line="259" w:lineRule="auto"/>
        <w:jc w:val="both"/>
        <w:rPr>
          <w:rFonts w:ascii="Calibri" w:eastAsia="Calibri" w:hAnsi="Calibri" w:cs="Calibri"/>
          <w:color w:val="000000" w:themeColor="text1"/>
        </w:rPr>
      </w:pPr>
      <w:r w:rsidRPr="12874709">
        <w:rPr>
          <w:rStyle w:val="Ninguno"/>
          <w:rFonts w:ascii="Calibri" w:eastAsia="Calibri" w:hAnsi="Calibri" w:cs="Calibri"/>
          <w:b/>
          <w:bCs/>
          <w:color w:val="000000" w:themeColor="text1"/>
        </w:rPr>
        <w:t xml:space="preserve">ATREVIA </w:t>
      </w:r>
    </w:p>
    <w:p w14:paraId="28F49BF8" w14:textId="774D40FA" w:rsidR="65A25C4A" w:rsidRDefault="65A25C4A" w:rsidP="004F7ACD">
      <w:pPr>
        <w:spacing w:after="0" w:line="259" w:lineRule="auto"/>
        <w:jc w:val="both"/>
        <w:rPr>
          <w:rFonts w:ascii="Calibri" w:eastAsia="Calibri" w:hAnsi="Calibri" w:cs="Calibri"/>
          <w:color w:val="000000" w:themeColor="text1"/>
        </w:rPr>
      </w:pPr>
      <w:r w:rsidRPr="12874709">
        <w:rPr>
          <w:rStyle w:val="Ninguno"/>
          <w:rFonts w:ascii="Calibri" w:eastAsia="Calibri" w:hAnsi="Calibri" w:cs="Calibri"/>
          <w:b/>
          <w:bCs/>
          <w:color w:val="000000" w:themeColor="text1"/>
          <w:lang w:val="it-IT"/>
        </w:rPr>
        <w:t xml:space="preserve">Valentina </w:t>
      </w:r>
      <w:proofErr w:type="spellStart"/>
      <w:r w:rsidRPr="12874709">
        <w:rPr>
          <w:rStyle w:val="Ninguno"/>
          <w:rFonts w:ascii="Calibri" w:eastAsia="Calibri" w:hAnsi="Calibri" w:cs="Calibri"/>
          <w:b/>
          <w:bCs/>
          <w:color w:val="000000" w:themeColor="text1"/>
          <w:lang w:val="it-IT"/>
        </w:rPr>
        <w:t>Fl</w:t>
      </w:r>
      <w:r w:rsidRPr="12874709">
        <w:rPr>
          <w:rStyle w:val="Ninguno"/>
          <w:rFonts w:ascii="Calibri" w:eastAsia="Calibri" w:hAnsi="Calibri" w:cs="Calibri"/>
          <w:b/>
          <w:bCs/>
          <w:color w:val="000000" w:themeColor="text1"/>
        </w:rPr>
        <w:t>órez</w:t>
      </w:r>
      <w:proofErr w:type="spellEnd"/>
      <w:r w:rsidRPr="12874709">
        <w:rPr>
          <w:rStyle w:val="Ninguno"/>
          <w:rFonts w:ascii="Calibri" w:eastAsia="Calibri" w:hAnsi="Calibri" w:cs="Calibri"/>
          <w:b/>
          <w:bCs/>
          <w:color w:val="000000" w:themeColor="text1"/>
        </w:rPr>
        <w:t xml:space="preserve">, </w:t>
      </w:r>
      <w:hyperlink r:id="rId13">
        <w:r w:rsidRPr="12874709">
          <w:rPr>
            <w:rStyle w:val="Hipervnculo"/>
            <w:rFonts w:ascii="Calibri" w:eastAsia="Calibri" w:hAnsi="Calibri" w:cs="Calibri"/>
            <w:b/>
            <w:bCs/>
            <w:color w:val="000000" w:themeColor="text1"/>
          </w:rPr>
          <w:t>vflorez@atrevia.com</w:t>
        </w:r>
      </w:hyperlink>
      <w:r w:rsidRPr="12874709">
        <w:rPr>
          <w:rStyle w:val="Ninguno"/>
          <w:rFonts w:ascii="Calibri" w:eastAsia="Calibri" w:hAnsi="Calibri" w:cs="Calibri"/>
          <w:b/>
          <w:bCs/>
          <w:color w:val="000000" w:themeColor="text1"/>
        </w:rPr>
        <w:t xml:space="preserve">  </w:t>
      </w:r>
    </w:p>
    <w:p w14:paraId="50535BD9" w14:textId="0639A3BE" w:rsidR="65A25C4A" w:rsidRDefault="65A25C4A" w:rsidP="004F7ACD">
      <w:pPr>
        <w:spacing w:after="0" w:line="259" w:lineRule="auto"/>
        <w:jc w:val="both"/>
        <w:rPr>
          <w:rFonts w:ascii="Calibri" w:eastAsia="Calibri" w:hAnsi="Calibri" w:cs="Calibri"/>
          <w:color w:val="000000" w:themeColor="text1"/>
        </w:rPr>
      </w:pPr>
      <w:r w:rsidRPr="12874709">
        <w:rPr>
          <w:rStyle w:val="Ninguno"/>
          <w:rFonts w:ascii="Calibri" w:eastAsia="Calibri" w:hAnsi="Calibri" w:cs="Calibri"/>
          <w:b/>
          <w:bCs/>
          <w:color w:val="000000" w:themeColor="text1"/>
        </w:rPr>
        <w:t>623 12 45 73</w:t>
      </w:r>
    </w:p>
    <w:p w14:paraId="0E7E3CEC" w14:textId="0EA54EE6" w:rsidR="65A25C4A" w:rsidRDefault="65A25C4A" w:rsidP="004F7ACD">
      <w:pPr>
        <w:spacing w:after="0" w:line="259" w:lineRule="auto"/>
        <w:jc w:val="both"/>
        <w:rPr>
          <w:rFonts w:ascii="Calibri" w:eastAsia="Calibri" w:hAnsi="Calibri" w:cs="Calibri"/>
          <w:color w:val="000000" w:themeColor="text1"/>
        </w:rPr>
      </w:pPr>
      <w:r w:rsidRPr="12874709">
        <w:rPr>
          <w:rStyle w:val="Ninguno"/>
          <w:rFonts w:ascii="Calibri" w:eastAsia="Calibri" w:hAnsi="Calibri" w:cs="Calibri"/>
          <w:b/>
          <w:bCs/>
          <w:color w:val="000000" w:themeColor="text1"/>
        </w:rPr>
        <w:t xml:space="preserve"> </w:t>
      </w:r>
    </w:p>
    <w:p w14:paraId="237C92A6" w14:textId="0323BD0A" w:rsidR="65A25C4A" w:rsidRDefault="65A25C4A" w:rsidP="004F7ACD">
      <w:pPr>
        <w:spacing w:after="0" w:line="259" w:lineRule="auto"/>
        <w:jc w:val="both"/>
        <w:rPr>
          <w:rFonts w:ascii="Calibri" w:eastAsia="Calibri" w:hAnsi="Calibri" w:cs="Calibri"/>
          <w:color w:val="000000" w:themeColor="text1"/>
        </w:rPr>
      </w:pPr>
      <w:r w:rsidRPr="12874709">
        <w:rPr>
          <w:rStyle w:val="Ninguno"/>
          <w:rFonts w:ascii="Calibri" w:eastAsia="Calibri" w:hAnsi="Calibri" w:cs="Calibri"/>
          <w:b/>
          <w:bCs/>
          <w:color w:val="000000" w:themeColor="text1"/>
        </w:rPr>
        <w:t xml:space="preserve">Paula Seoane, </w:t>
      </w:r>
      <w:hyperlink r:id="rId14">
        <w:r w:rsidRPr="12874709">
          <w:rPr>
            <w:rStyle w:val="Hipervnculo"/>
            <w:rFonts w:ascii="Calibri" w:eastAsia="Calibri" w:hAnsi="Calibri" w:cs="Calibri"/>
            <w:b/>
            <w:bCs/>
            <w:color w:val="000000" w:themeColor="text1"/>
            <w:u w:val="none"/>
            <w:lang w:val="pt-PT"/>
          </w:rPr>
          <w:t>pseoane@atrevia.com</w:t>
        </w:r>
      </w:hyperlink>
    </w:p>
    <w:p w14:paraId="5118718A" w14:textId="672E8BBA" w:rsidR="65A25C4A" w:rsidRDefault="65A25C4A" w:rsidP="004F7ACD">
      <w:pPr>
        <w:spacing w:after="0" w:line="259" w:lineRule="auto"/>
        <w:jc w:val="both"/>
        <w:rPr>
          <w:rFonts w:ascii="Calibri" w:eastAsia="Calibri" w:hAnsi="Calibri" w:cs="Calibri"/>
          <w:color w:val="000000" w:themeColor="text1"/>
        </w:rPr>
      </w:pPr>
      <w:r w:rsidRPr="12874709">
        <w:rPr>
          <w:rStyle w:val="Ninguno"/>
          <w:rFonts w:ascii="Calibri" w:eastAsia="Calibri" w:hAnsi="Calibri" w:cs="Calibri"/>
          <w:b/>
          <w:bCs/>
          <w:color w:val="000000" w:themeColor="text1"/>
        </w:rPr>
        <w:t>667 63 34 52</w:t>
      </w:r>
    </w:p>
    <w:p w14:paraId="78420F80" w14:textId="1151F644" w:rsidR="12874709" w:rsidRDefault="12874709" w:rsidP="004F7ACD"/>
    <w:sectPr w:rsidR="12874709">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C3EE" w14:textId="77777777" w:rsidR="00004DDE" w:rsidRDefault="00004DDE">
      <w:pPr>
        <w:spacing w:after="0" w:line="240" w:lineRule="auto"/>
      </w:pPr>
      <w:r>
        <w:separator/>
      </w:r>
    </w:p>
  </w:endnote>
  <w:endnote w:type="continuationSeparator" w:id="0">
    <w:p w14:paraId="23D5E1CC" w14:textId="77777777" w:rsidR="00004DDE" w:rsidRDefault="0000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12874709" w14:paraId="6C880E96" w14:textId="77777777" w:rsidTr="12874709">
      <w:trPr>
        <w:trHeight w:val="300"/>
      </w:trPr>
      <w:tc>
        <w:tcPr>
          <w:tcW w:w="2830" w:type="dxa"/>
        </w:tcPr>
        <w:p w14:paraId="51193578" w14:textId="1EB7F747" w:rsidR="12874709" w:rsidRDefault="12874709" w:rsidP="12874709">
          <w:pPr>
            <w:pStyle w:val="Encabezado"/>
            <w:ind w:left="-115"/>
          </w:pPr>
        </w:p>
      </w:tc>
      <w:tc>
        <w:tcPr>
          <w:tcW w:w="2830" w:type="dxa"/>
        </w:tcPr>
        <w:p w14:paraId="1753C61D" w14:textId="6080AFE1" w:rsidR="12874709" w:rsidRDefault="12874709" w:rsidP="12874709">
          <w:pPr>
            <w:pStyle w:val="Encabezado"/>
            <w:jc w:val="center"/>
          </w:pPr>
        </w:p>
      </w:tc>
      <w:tc>
        <w:tcPr>
          <w:tcW w:w="2830" w:type="dxa"/>
        </w:tcPr>
        <w:p w14:paraId="5DAD2B4D" w14:textId="649A2144" w:rsidR="12874709" w:rsidRDefault="12874709" w:rsidP="12874709">
          <w:pPr>
            <w:pStyle w:val="Encabezado"/>
            <w:ind w:right="-115"/>
            <w:jc w:val="right"/>
          </w:pPr>
        </w:p>
      </w:tc>
    </w:tr>
  </w:tbl>
  <w:p w14:paraId="283735CE" w14:textId="0F8D601C" w:rsidR="12874709" w:rsidRDefault="12874709" w:rsidP="128747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253E" w14:textId="77777777" w:rsidR="00004DDE" w:rsidRDefault="00004DDE">
      <w:pPr>
        <w:spacing w:after="0" w:line="240" w:lineRule="auto"/>
      </w:pPr>
      <w:r>
        <w:separator/>
      </w:r>
    </w:p>
  </w:footnote>
  <w:footnote w:type="continuationSeparator" w:id="0">
    <w:p w14:paraId="7135AA87" w14:textId="77777777" w:rsidR="00004DDE" w:rsidRDefault="00004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C373" w14:textId="371A5311" w:rsidR="12874709" w:rsidRDefault="12874709" w:rsidP="12874709">
    <w:pPr>
      <w:pStyle w:val="Encabezado"/>
      <w:jc w:val="right"/>
    </w:pPr>
    <w:r>
      <w:rPr>
        <w:noProof/>
      </w:rPr>
      <w:drawing>
        <wp:inline distT="0" distB="0" distL="0" distR="0" wp14:anchorId="11ABF671" wp14:editId="5F0A16D2">
          <wp:extent cx="1885950" cy="495300"/>
          <wp:effectExtent l="0" t="0" r="0" b="0"/>
          <wp:docPr id="224365373" name="drawing" titl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65373" name="Picture 224365373"/>
                  <pic:cNvPicPr/>
                </pic:nvPicPr>
                <pic:blipFill>
                  <a:blip r:embed="rId1">
                    <a:extLst>
                      <a:ext uri="{28A0092B-C50C-407E-A947-70E740481C1C}">
                        <a14:useLocalDpi xmlns:a14="http://schemas.microsoft.com/office/drawing/2010/main"/>
                      </a:ext>
                    </a:extLst>
                  </a:blip>
                  <a:stretch>
                    <a:fillRect/>
                  </a:stretch>
                </pic:blipFill>
                <pic:spPr>
                  <a:xfrm>
                    <a:off x="0" y="0"/>
                    <a:ext cx="1885950"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E2E3"/>
    <w:multiLevelType w:val="hybridMultilevel"/>
    <w:tmpl w:val="1B6A03F6"/>
    <w:lvl w:ilvl="0" w:tplc="666CB69E">
      <w:start w:val="1"/>
      <w:numFmt w:val="bullet"/>
      <w:lvlText w:val=""/>
      <w:lvlJc w:val="left"/>
      <w:pPr>
        <w:ind w:left="720" w:hanging="360"/>
      </w:pPr>
      <w:rPr>
        <w:rFonts w:ascii="Symbol" w:hAnsi="Symbol" w:hint="default"/>
      </w:rPr>
    </w:lvl>
    <w:lvl w:ilvl="1" w:tplc="82DC8FFE">
      <w:start w:val="1"/>
      <w:numFmt w:val="bullet"/>
      <w:lvlText w:val="o"/>
      <w:lvlJc w:val="left"/>
      <w:pPr>
        <w:ind w:left="1440" w:hanging="360"/>
      </w:pPr>
      <w:rPr>
        <w:rFonts w:ascii="Courier New" w:hAnsi="Courier New" w:hint="default"/>
      </w:rPr>
    </w:lvl>
    <w:lvl w:ilvl="2" w:tplc="80F814C4">
      <w:start w:val="1"/>
      <w:numFmt w:val="bullet"/>
      <w:lvlText w:val=""/>
      <w:lvlJc w:val="left"/>
      <w:pPr>
        <w:ind w:left="2160" w:hanging="360"/>
      </w:pPr>
      <w:rPr>
        <w:rFonts w:ascii="Wingdings" w:hAnsi="Wingdings" w:hint="default"/>
      </w:rPr>
    </w:lvl>
    <w:lvl w:ilvl="3" w:tplc="F8B0127C">
      <w:start w:val="1"/>
      <w:numFmt w:val="bullet"/>
      <w:lvlText w:val=""/>
      <w:lvlJc w:val="left"/>
      <w:pPr>
        <w:ind w:left="2880" w:hanging="360"/>
      </w:pPr>
      <w:rPr>
        <w:rFonts w:ascii="Symbol" w:hAnsi="Symbol" w:hint="default"/>
      </w:rPr>
    </w:lvl>
    <w:lvl w:ilvl="4" w:tplc="90FCBE40">
      <w:start w:val="1"/>
      <w:numFmt w:val="bullet"/>
      <w:lvlText w:val="o"/>
      <w:lvlJc w:val="left"/>
      <w:pPr>
        <w:ind w:left="3600" w:hanging="360"/>
      </w:pPr>
      <w:rPr>
        <w:rFonts w:ascii="Courier New" w:hAnsi="Courier New" w:hint="default"/>
      </w:rPr>
    </w:lvl>
    <w:lvl w:ilvl="5" w:tplc="271A6338">
      <w:start w:val="1"/>
      <w:numFmt w:val="bullet"/>
      <w:lvlText w:val=""/>
      <w:lvlJc w:val="left"/>
      <w:pPr>
        <w:ind w:left="4320" w:hanging="360"/>
      </w:pPr>
      <w:rPr>
        <w:rFonts w:ascii="Wingdings" w:hAnsi="Wingdings" w:hint="default"/>
      </w:rPr>
    </w:lvl>
    <w:lvl w:ilvl="6" w:tplc="BB7C118C">
      <w:start w:val="1"/>
      <w:numFmt w:val="bullet"/>
      <w:lvlText w:val=""/>
      <w:lvlJc w:val="left"/>
      <w:pPr>
        <w:ind w:left="5040" w:hanging="360"/>
      </w:pPr>
      <w:rPr>
        <w:rFonts w:ascii="Symbol" w:hAnsi="Symbol" w:hint="default"/>
      </w:rPr>
    </w:lvl>
    <w:lvl w:ilvl="7" w:tplc="AFBC2A3C">
      <w:start w:val="1"/>
      <w:numFmt w:val="bullet"/>
      <w:lvlText w:val="o"/>
      <w:lvlJc w:val="left"/>
      <w:pPr>
        <w:ind w:left="5760" w:hanging="360"/>
      </w:pPr>
      <w:rPr>
        <w:rFonts w:ascii="Courier New" w:hAnsi="Courier New" w:hint="default"/>
      </w:rPr>
    </w:lvl>
    <w:lvl w:ilvl="8" w:tplc="83CEE6E6">
      <w:start w:val="1"/>
      <w:numFmt w:val="bullet"/>
      <w:lvlText w:val=""/>
      <w:lvlJc w:val="left"/>
      <w:pPr>
        <w:ind w:left="6480" w:hanging="360"/>
      </w:pPr>
      <w:rPr>
        <w:rFonts w:ascii="Wingdings" w:hAnsi="Wingdings" w:hint="default"/>
      </w:rPr>
    </w:lvl>
  </w:abstractNum>
  <w:abstractNum w:abstractNumId="1" w15:restartNumberingAfterBreak="0">
    <w:nsid w:val="5E36FE13"/>
    <w:multiLevelType w:val="hybridMultilevel"/>
    <w:tmpl w:val="11064E70"/>
    <w:lvl w:ilvl="0" w:tplc="A0ECECDA">
      <w:start w:val="1"/>
      <w:numFmt w:val="bullet"/>
      <w:lvlText w:val=""/>
      <w:lvlJc w:val="left"/>
      <w:pPr>
        <w:ind w:left="720" w:hanging="360"/>
      </w:pPr>
      <w:rPr>
        <w:rFonts w:ascii="Symbol" w:hAnsi="Symbol" w:hint="default"/>
      </w:rPr>
    </w:lvl>
    <w:lvl w:ilvl="1" w:tplc="F40CFAA6">
      <w:start w:val="1"/>
      <w:numFmt w:val="bullet"/>
      <w:lvlText w:val="o"/>
      <w:lvlJc w:val="left"/>
      <w:pPr>
        <w:ind w:left="1440" w:hanging="360"/>
      </w:pPr>
      <w:rPr>
        <w:rFonts w:ascii="Courier New" w:hAnsi="Courier New" w:hint="default"/>
      </w:rPr>
    </w:lvl>
    <w:lvl w:ilvl="2" w:tplc="665EA370">
      <w:start w:val="1"/>
      <w:numFmt w:val="bullet"/>
      <w:lvlText w:val=""/>
      <w:lvlJc w:val="left"/>
      <w:pPr>
        <w:ind w:left="2160" w:hanging="360"/>
      </w:pPr>
      <w:rPr>
        <w:rFonts w:ascii="Wingdings" w:hAnsi="Wingdings" w:hint="default"/>
      </w:rPr>
    </w:lvl>
    <w:lvl w:ilvl="3" w:tplc="6EE2403C">
      <w:start w:val="1"/>
      <w:numFmt w:val="bullet"/>
      <w:lvlText w:val=""/>
      <w:lvlJc w:val="left"/>
      <w:pPr>
        <w:ind w:left="2880" w:hanging="360"/>
      </w:pPr>
      <w:rPr>
        <w:rFonts w:ascii="Symbol" w:hAnsi="Symbol" w:hint="default"/>
      </w:rPr>
    </w:lvl>
    <w:lvl w:ilvl="4" w:tplc="BCAA5B2A">
      <w:start w:val="1"/>
      <w:numFmt w:val="bullet"/>
      <w:lvlText w:val="o"/>
      <w:lvlJc w:val="left"/>
      <w:pPr>
        <w:ind w:left="3600" w:hanging="360"/>
      </w:pPr>
      <w:rPr>
        <w:rFonts w:ascii="Courier New" w:hAnsi="Courier New" w:hint="default"/>
      </w:rPr>
    </w:lvl>
    <w:lvl w:ilvl="5" w:tplc="B0D8F4F8">
      <w:start w:val="1"/>
      <w:numFmt w:val="bullet"/>
      <w:lvlText w:val=""/>
      <w:lvlJc w:val="left"/>
      <w:pPr>
        <w:ind w:left="4320" w:hanging="360"/>
      </w:pPr>
      <w:rPr>
        <w:rFonts w:ascii="Wingdings" w:hAnsi="Wingdings" w:hint="default"/>
      </w:rPr>
    </w:lvl>
    <w:lvl w:ilvl="6" w:tplc="5282B186">
      <w:start w:val="1"/>
      <w:numFmt w:val="bullet"/>
      <w:lvlText w:val=""/>
      <w:lvlJc w:val="left"/>
      <w:pPr>
        <w:ind w:left="5040" w:hanging="360"/>
      </w:pPr>
      <w:rPr>
        <w:rFonts w:ascii="Symbol" w:hAnsi="Symbol" w:hint="default"/>
      </w:rPr>
    </w:lvl>
    <w:lvl w:ilvl="7" w:tplc="028AC330">
      <w:start w:val="1"/>
      <w:numFmt w:val="bullet"/>
      <w:lvlText w:val="o"/>
      <w:lvlJc w:val="left"/>
      <w:pPr>
        <w:ind w:left="5760" w:hanging="360"/>
      </w:pPr>
      <w:rPr>
        <w:rFonts w:ascii="Courier New" w:hAnsi="Courier New" w:hint="default"/>
      </w:rPr>
    </w:lvl>
    <w:lvl w:ilvl="8" w:tplc="991AF31C">
      <w:start w:val="1"/>
      <w:numFmt w:val="bullet"/>
      <w:lvlText w:val=""/>
      <w:lvlJc w:val="left"/>
      <w:pPr>
        <w:ind w:left="6480" w:hanging="360"/>
      </w:pPr>
      <w:rPr>
        <w:rFonts w:ascii="Wingdings" w:hAnsi="Wingdings" w:hint="default"/>
      </w:rPr>
    </w:lvl>
  </w:abstractNum>
  <w:num w:numId="1" w16cid:durableId="1477062597">
    <w:abstractNumId w:val="1"/>
  </w:num>
  <w:num w:numId="2" w16cid:durableId="68100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1B"/>
    <w:rsid w:val="00004DDE"/>
    <w:rsid w:val="00011EC2"/>
    <w:rsid w:val="0004322D"/>
    <w:rsid w:val="00062AE2"/>
    <w:rsid w:val="00064FB2"/>
    <w:rsid w:val="000665AE"/>
    <w:rsid w:val="000A19F1"/>
    <w:rsid w:val="000E7228"/>
    <w:rsid w:val="00102DA7"/>
    <w:rsid w:val="001127F6"/>
    <w:rsid w:val="001371DC"/>
    <w:rsid w:val="0014308E"/>
    <w:rsid w:val="00197BAF"/>
    <w:rsid w:val="001F2213"/>
    <w:rsid w:val="001F3A16"/>
    <w:rsid w:val="001F6244"/>
    <w:rsid w:val="00210E80"/>
    <w:rsid w:val="002526CE"/>
    <w:rsid w:val="00261B12"/>
    <w:rsid w:val="002A385B"/>
    <w:rsid w:val="002B465A"/>
    <w:rsid w:val="002E4FCB"/>
    <w:rsid w:val="003005EC"/>
    <w:rsid w:val="003247EC"/>
    <w:rsid w:val="003616FF"/>
    <w:rsid w:val="0036369F"/>
    <w:rsid w:val="00364D1C"/>
    <w:rsid w:val="00384013"/>
    <w:rsid w:val="003A18DA"/>
    <w:rsid w:val="003A5960"/>
    <w:rsid w:val="003C1EBE"/>
    <w:rsid w:val="003D0075"/>
    <w:rsid w:val="003F005A"/>
    <w:rsid w:val="00453D92"/>
    <w:rsid w:val="00466C40"/>
    <w:rsid w:val="00482CDF"/>
    <w:rsid w:val="004B05E2"/>
    <w:rsid w:val="004C41FB"/>
    <w:rsid w:val="004C641A"/>
    <w:rsid w:val="004F0D1C"/>
    <w:rsid w:val="004F7ACD"/>
    <w:rsid w:val="005571D4"/>
    <w:rsid w:val="00582AF8"/>
    <w:rsid w:val="005C4C9D"/>
    <w:rsid w:val="005E04F1"/>
    <w:rsid w:val="005F28F2"/>
    <w:rsid w:val="005F5BBB"/>
    <w:rsid w:val="00613495"/>
    <w:rsid w:val="006209C4"/>
    <w:rsid w:val="00631F60"/>
    <w:rsid w:val="00652C0F"/>
    <w:rsid w:val="006E71B5"/>
    <w:rsid w:val="006F5454"/>
    <w:rsid w:val="00702CA8"/>
    <w:rsid w:val="00703788"/>
    <w:rsid w:val="00704BE9"/>
    <w:rsid w:val="00706DEE"/>
    <w:rsid w:val="007120A0"/>
    <w:rsid w:val="007250B9"/>
    <w:rsid w:val="0073354E"/>
    <w:rsid w:val="0074318C"/>
    <w:rsid w:val="007454E9"/>
    <w:rsid w:val="00775AA5"/>
    <w:rsid w:val="007844B0"/>
    <w:rsid w:val="00791880"/>
    <w:rsid w:val="00792521"/>
    <w:rsid w:val="00795765"/>
    <w:rsid w:val="007A7962"/>
    <w:rsid w:val="007B11B2"/>
    <w:rsid w:val="007C5359"/>
    <w:rsid w:val="007C6FA8"/>
    <w:rsid w:val="007D5846"/>
    <w:rsid w:val="008173EA"/>
    <w:rsid w:val="00824187"/>
    <w:rsid w:val="00847C9A"/>
    <w:rsid w:val="0086543A"/>
    <w:rsid w:val="0087591D"/>
    <w:rsid w:val="008965B4"/>
    <w:rsid w:val="008A5F22"/>
    <w:rsid w:val="008D3978"/>
    <w:rsid w:val="008F56C2"/>
    <w:rsid w:val="0091573D"/>
    <w:rsid w:val="0093121B"/>
    <w:rsid w:val="009508B1"/>
    <w:rsid w:val="00966301"/>
    <w:rsid w:val="00975DFF"/>
    <w:rsid w:val="009801F1"/>
    <w:rsid w:val="00983729"/>
    <w:rsid w:val="009E6587"/>
    <w:rsid w:val="00A16309"/>
    <w:rsid w:val="00A233BD"/>
    <w:rsid w:val="00A44EF7"/>
    <w:rsid w:val="00A51534"/>
    <w:rsid w:val="00A52721"/>
    <w:rsid w:val="00A67CA1"/>
    <w:rsid w:val="00A7451A"/>
    <w:rsid w:val="00A76312"/>
    <w:rsid w:val="00A82100"/>
    <w:rsid w:val="00AA35B8"/>
    <w:rsid w:val="00AC789C"/>
    <w:rsid w:val="00AE5829"/>
    <w:rsid w:val="00B1319D"/>
    <w:rsid w:val="00B2563E"/>
    <w:rsid w:val="00B87F58"/>
    <w:rsid w:val="00BD54C8"/>
    <w:rsid w:val="00BF4D3B"/>
    <w:rsid w:val="00C14DB9"/>
    <w:rsid w:val="00C3282B"/>
    <w:rsid w:val="00C46293"/>
    <w:rsid w:val="00C51C25"/>
    <w:rsid w:val="00C66A14"/>
    <w:rsid w:val="00C9065B"/>
    <w:rsid w:val="00CA25D8"/>
    <w:rsid w:val="00CC26D3"/>
    <w:rsid w:val="00CC4CC4"/>
    <w:rsid w:val="00CD149B"/>
    <w:rsid w:val="00CD2B44"/>
    <w:rsid w:val="00CE1BA0"/>
    <w:rsid w:val="00CF707B"/>
    <w:rsid w:val="00D11F2D"/>
    <w:rsid w:val="00D260D9"/>
    <w:rsid w:val="00D33DDB"/>
    <w:rsid w:val="00D53FFF"/>
    <w:rsid w:val="00D70CFA"/>
    <w:rsid w:val="00DD0CA9"/>
    <w:rsid w:val="00DF227A"/>
    <w:rsid w:val="00E04808"/>
    <w:rsid w:val="00E462AE"/>
    <w:rsid w:val="00E56C0A"/>
    <w:rsid w:val="00E865A0"/>
    <w:rsid w:val="00E92237"/>
    <w:rsid w:val="00E9539B"/>
    <w:rsid w:val="00EB16F5"/>
    <w:rsid w:val="00EB20D0"/>
    <w:rsid w:val="00EE2E2A"/>
    <w:rsid w:val="00F174DD"/>
    <w:rsid w:val="00FD4504"/>
    <w:rsid w:val="00FD73CC"/>
    <w:rsid w:val="00FF03AD"/>
    <w:rsid w:val="00FF14D0"/>
    <w:rsid w:val="037FA9FC"/>
    <w:rsid w:val="0C1CE273"/>
    <w:rsid w:val="12874709"/>
    <w:rsid w:val="1AEEF8AC"/>
    <w:rsid w:val="2B04462A"/>
    <w:rsid w:val="2C93EF36"/>
    <w:rsid w:val="317AB02F"/>
    <w:rsid w:val="445E1887"/>
    <w:rsid w:val="44CF6B6D"/>
    <w:rsid w:val="49CE2C7B"/>
    <w:rsid w:val="4B034CA1"/>
    <w:rsid w:val="5C12C8AA"/>
    <w:rsid w:val="5EAB3228"/>
    <w:rsid w:val="65A25C4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B4C6"/>
  <w15:chartTrackingRefBased/>
  <w15:docId w15:val="{C918E8E5-C044-41A4-8A0A-B0525C52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1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1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12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12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12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12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12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12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12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2C93EF36"/>
    <w:rPr>
      <w:rFonts w:asciiTheme="majorHAnsi" w:eastAsiaTheme="majorEastAsia" w:hAnsiTheme="majorHAnsi" w:cstheme="majorBidi"/>
      <w:color w:val="0F4761" w:themeColor="accent1" w:themeShade="BF"/>
      <w:sz w:val="40"/>
      <w:szCs w:val="40"/>
    </w:rPr>
  </w:style>
  <w:style w:type="character" w:customStyle="1" w:styleId="Ttulo2Car">
    <w:name w:val="Título 2 Car"/>
    <w:link w:val="Ttulo2"/>
    <w:uiPriority w:val="9"/>
    <w:semiHidden/>
    <w:rsid w:val="2C93EF36"/>
    <w:rPr>
      <w:rFonts w:asciiTheme="majorHAnsi" w:eastAsiaTheme="majorEastAsia" w:hAnsiTheme="majorHAnsi" w:cstheme="majorBidi"/>
      <w:color w:val="0F4761" w:themeColor="accent1" w:themeShade="BF"/>
      <w:sz w:val="32"/>
      <w:szCs w:val="32"/>
    </w:rPr>
  </w:style>
  <w:style w:type="character" w:customStyle="1" w:styleId="Ttulo3Car">
    <w:name w:val="Título 3 Car"/>
    <w:link w:val="Ttulo3"/>
    <w:uiPriority w:val="9"/>
    <w:semiHidden/>
    <w:rsid w:val="2C93EF36"/>
    <w:rPr>
      <w:rFonts w:eastAsiaTheme="majorEastAsia" w:cstheme="majorBidi"/>
      <w:color w:val="0F4761" w:themeColor="accent1" w:themeShade="BF"/>
      <w:sz w:val="28"/>
      <w:szCs w:val="28"/>
    </w:rPr>
  </w:style>
  <w:style w:type="character" w:customStyle="1" w:styleId="Ttulo4Car">
    <w:name w:val="Título 4 Car"/>
    <w:link w:val="Ttulo4"/>
    <w:uiPriority w:val="9"/>
    <w:semiHidden/>
    <w:rsid w:val="2C93EF36"/>
    <w:rPr>
      <w:rFonts w:eastAsiaTheme="majorEastAsia" w:cstheme="majorBidi"/>
      <w:i/>
      <w:iCs/>
      <w:color w:val="0F4761" w:themeColor="accent1" w:themeShade="BF"/>
    </w:rPr>
  </w:style>
  <w:style w:type="character" w:customStyle="1" w:styleId="Ttulo5Car">
    <w:name w:val="Título 5 Car"/>
    <w:link w:val="Ttulo5"/>
    <w:uiPriority w:val="9"/>
    <w:semiHidden/>
    <w:rsid w:val="2C93EF36"/>
    <w:rPr>
      <w:rFonts w:eastAsiaTheme="majorEastAsia" w:cstheme="majorBidi"/>
      <w:color w:val="0F4761" w:themeColor="accent1" w:themeShade="BF"/>
    </w:rPr>
  </w:style>
  <w:style w:type="character" w:customStyle="1" w:styleId="Ttulo6Car">
    <w:name w:val="Título 6 Car"/>
    <w:link w:val="Ttulo6"/>
    <w:uiPriority w:val="9"/>
    <w:semiHidden/>
    <w:rsid w:val="2C93EF36"/>
    <w:rPr>
      <w:rFonts w:eastAsiaTheme="majorEastAsia" w:cstheme="majorBidi"/>
      <w:i/>
      <w:iCs/>
      <w:color w:val="595959" w:themeColor="text1" w:themeTint="A6"/>
    </w:rPr>
  </w:style>
  <w:style w:type="character" w:customStyle="1" w:styleId="Ttulo7Car">
    <w:name w:val="Título 7 Car"/>
    <w:link w:val="Ttulo7"/>
    <w:uiPriority w:val="9"/>
    <w:semiHidden/>
    <w:rsid w:val="2C93EF36"/>
    <w:rPr>
      <w:rFonts w:eastAsiaTheme="majorEastAsia" w:cstheme="majorBidi"/>
      <w:color w:val="595959" w:themeColor="text1" w:themeTint="A6"/>
    </w:rPr>
  </w:style>
  <w:style w:type="character" w:customStyle="1" w:styleId="Ttulo8Car">
    <w:name w:val="Título 8 Car"/>
    <w:link w:val="Ttulo8"/>
    <w:uiPriority w:val="9"/>
    <w:semiHidden/>
    <w:rsid w:val="2C93EF36"/>
    <w:rPr>
      <w:rFonts w:eastAsiaTheme="majorEastAsia" w:cstheme="majorBidi"/>
      <w:i/>
      <w:iCs/>
      <w:color w:val="272727"/>
    </w:rPr>
  </w:style>
  <w:style w:type="character" w:customStyle="1" w:styleId="Ttulo9Car">
    <w:name w:val="Título 9 Car"/>
    <w:link w:val="Ttulo9"/>
    <w:uiPriority w:val="9"/>
    <w:semiHidden/>
    <w:rsid w:val="2C93EF36"/>
    <w:rPr>
      <w:rFonts w:eastAsiaTheme="majorEastAsia" w:cstheme="majorBidi"/>
      <w:color w:val="272727"/>
    </w:rPr>
  </w:style>
  <w:style w:type="paragraph" w:styleId="Ttulo">
    <w:name w:val="Title"/>
    <w:basedOn w:val="Normal"/>
    <w:next w:val="Normal"/>
    <w:link w:val="TtuloCar"/>
    <w:uiPriority w:val="10"/>
    <w:qFormat/>
    <w:rsid w:val="0093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2C93EF36"/>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009312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link w:val="Subttulo"/>
    <w:uiPriority w:val="11"/>
    <w:rsid w:val="2C93EF36"/>
    <w:rPr>
      <w:rFonts w:eastAsiaTheme="majorEastAsia" w:cstheme="majorBidi"/>
      <w:color w:val="595959" w:themeColor="text1" w:themeTint="A6"/>
      <w:sz w:val="28"/>
      <w:szCs w:val="28"/>
    </w:rPr>
  </w:style>
  <w:style w:type="paragraph" w:styleId="Cita">
    <w:name w:val="Quote"/>
    <w:basedOn w:val="Normal"/>
    <w:next w:val="Normal"/>
    <w:link w:val="CitaCar"/>
    <w:uiPriority w:val="29"/>
    <w:qFormat/>
    <w:rsid w:val="0093121B"/>
    <w:pPr>
      <w:spacing w:before="160"/>
      <w:jc w:val="center"/>
    </w:pPr>
    <w:rPr>
      <w:i/>
      <w:iCs/>
      <w:color w:val="404040" w:themeColor="text1" w:themeTint="BF"/>
    </w:rPr>
  </w:style>
  <w:style w:type="character" w:customStyle="1" w:styleId="CitaCar">
    <w:name w:val="Cita Car"/>
    <w:link w:val="Cita"/>
    <w:uiPriority w:val="29"/>
    <w:rsid w:val="2C93EF36"/>
    <w:rPr>
      <w:i/>
      <w:iCs/>
      <w:color w:val="404040" w:themeColor="text1" w:themeTint="BF"/>
    </w:rPr>
  </w:style>
  <w:style w:type="paragraph" w:styleId="Prrafodelista">
    <w:name w:val="List Paragraph"/>
    <w:basedOn w:val="Normal"/>
    <w:uiPriority w:val="34"/>
    <w:qFormat/>
    <w:rsid w:val="0093121B"/>
    <w:pPr>
      <w:ind w:left="720"/>
      <w:contextualSpacing/>
    </w:pPr>
  </w:style>
  <w:style w:type="character" w:styleId="nfasisintenso">
    <w:name w:val="Intense Emphasis"/>
    <w:uiPriority w:val="21"/>
    <w:qFormat/>
    <w:rsid w:val="2C93EF36"/>
    <w:rPr>
      <w:i/>
      <w:iCs/>
      <w:color w:val="0F4761" w:themeColor="accent1" w:themeShade="BF"/>
    </w:rPr>
  </w:style>
  <w:style w:type="paragraph" w:styleId="Citadestacada">
    <w:name w:val="Intense Quote"/>
    <w:basedOn w:val="Normal"/>
    <w:next w:val="Normal"/>
    <w:link w:val="CitadestacadaCar"/>
    <w:uiPriority w:val="30"/>
    <w:qFormat/>
    <w:rsid w:val="00931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link w:val="Citadestacada"/>
    <w:uiPriority w:val="30"/>
    <w:rsid w:val="2C93EF36"/>
    <w:rPr>
      <w:i/>
      <w:iCs/>
      <w:color w:val="0F4761" w:themeColor="accent1" w:themeShade="BF"/>
    </w:rPr>
  </w:style>
  <w:style w:type="character" w:styleId="Referenciaintensa">
    <w:name w:val="Intense Reference"/>
    <w:uiPriority w:val="32"/>
    <w:qFormat/>
    <w:rsid w:val="2C93EF36"/>
    <w:rPr>
      <w:b/>
      <w:bCs/>
      <w:smallCaps/>
      <w:color w:val="0F4761" w:themeColor="accent1" w:themeShade="BF"/>
    </w:rPr>
  </w:style>
  <w:style w:type="character" w:styleId="Refdecomentario">
    <w:name w:val="annotation reference"/>
    <w:uiPriority w:val="99"/>
    <w:semiHidden/>
    <w:unhideWhenUsed/>
    <w:rsid w:val="2C93EF36"/>
    <w:rPr>
      <w:sz w:val="16"/>
      <w:szCs w:val="16"/>
    </w:rPr>
  </w:style>
  <w:style w:type="paragraph" w:styleId="Textocomentario">
    <w:name w:val="annotation text"/>
    <w:basedOn w:val="Normal"/>
    <w:link w:val="TextocomentarioCar"/>
    <w:uiPriority w:val="99"/>
    <w:unhideWhenUsed/>
    <w:rsid w:val="0093121B"/>
    <w:pPr>
      <w:spacing w:line="240" w:lineRule="auto"/>
    </w:pPr>
    <w:rPr>
      <w:sz w:val="20"/>
      <w:szCs w:val="20"/>
    </w:rPr>
  </w:style>
  <w:style w:type="character" w:customStyle="1" w:styleId="TextocomentarioCar">
    <w:name w:val="Texto comentario Car"/>
    <w:link w:val="Textocomentario"/>
    <w:uiPriority w:val="99"/>
    <w:rsid w:val="2C93EF36"/>
    <w:rPr>
      <w:sz w:val="20"/>
      <w:szCs w:val="20"/>
    </w:rPr>
  </w:style>
  <w:style w:type="paragraph" w:styleId="Asuntodelcomentario">
    <w:name w:val="annotation subject"/>
    <w:basedOn w:val="Textocomentario"/>
    <w:next w:val="Textocomentario"/>
    <w:link w:val="AsuntodelcomentarioCar"/>
    <w:uiPriority w:val="99"/>
    <w:semiHidden/>
    <w:unhideWhenUsed/>
    <w:rsid w:val="0093121B"/>
    <w:rPr>
      <w:b/>
      <w:bCs/>
    </w:rPr>
  </w:style>
  <w:style w:type="character" w:customStyle="1" w:styleId="AsuntodelcomentarioCar">
    <w:name w:val="Asunto del comentario Car"/>
    <w:basedOn w:val="TextocomentarioCar"/>
    <w:link w:val="Asuntodelcomentario"/>
    <w:uiPriority w:val="99"/>
    <w:semiHidden/>
    <w:rsid w:val="0093121B"/>
    <w:rPr>
      <w:b/>
      <w:bCs/>
      <w:sz w:val="20"/>
      <w:szCs w:val="20"/>
    </w:rPr>
  </w:style>
  <w:style w:type="character" w:customStyle="1" w:styleId="Ninguno">
    <w:name w:val="Ninguno"/>
    <w:uiPriority w:val="1"/>
    <w:rsid w:val="2C93EF36"/>
    <w:rPr>
      <w:rFonts w:ascii="Times New Roman" w:eastAsia="Arial Unicode MS" w:hAnsi="Times New Roman" w:cs="Times New Roman"/>
      <w:lang w:val="es-ES"/>
    </w:rPr>
  </w:style>
  <w:style w:type="paragraph" w:styleId="Encabezado">
    <w:name w:val="header"/>
    <w:basedOn w:val="Normal"/>
    <w:uiPriority w:val="99"/>
    <w:unhideWhenUsed/>
    <w:rsid w:val="12874709"/>
    <w:pPr>
      <w:tabs>
        <w:tab w:val="center" w:pos="4680"/>
        <w:tab w:val="right" w:pos="9360"/>
      </w:tabs>
      <w:spacing w:after="0" w:line="240" w:lineRule="auto"/>
    </w:pPr>
  </w:style>
  <w:style w:type="paragraph" w:styleId="Piedepgina">
    <w:name w:val="footer"/>
    <w:basedOn w:val="Normal"/>
    <w:uiPriority w:val="99"/>
    <w:unhideWhenUsed/>
    <w:rsid w:val="12874709"/>
    <w:pPr>
      <w:tabs>
        <w:tab w:val="center" w:pos="4680"/>
        <w:tab w:val="right" w:pos="9360"/>
      </w:tabs>
      <w:spacing w:after="0" w:line="240" w:lineRule="auto"/>
    </w:pPr>
  </w:style>
  <w:style w:type="character" w:styleId="Hipervnculo">
    <w:name w:val="Hyperlink"/>
    <w:uiPriority w:val="99"/>
    <w:unhideWhenUsed/>
    <w:rsid w:val="12874709"/>
    <w:rPr>
      <w:color w:val="467886"/>
      <w:u w:val="single"/>
    </w:rPr>
  </w:style>
  <w:style w:type="character" w:customStyle="1" w:styleId="Hyperlink1">
    <w:name w:val="Hyperlink.1"/>
    <w:uiPriority w:val="1"/>
    <w:rsid w:val="12874709"/>
    <w:rPr>
      <w:rFonts w:ascii="Calibri" w:eastAsia="Calibri" w:hAnsi="Calibri" w:cs="Calibri"/>
      <w:color w:val="0000FF"/>
      <w:sz w:val="18"/>
      <w:szCs w:val="18"/>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A44EF7"/>
    <w:pPr>
      <w:spacing w:after="0" w:line="240" w:lineRule="auto"/>
    </w:pPr>
  </w:style>
  <w:style w:type="paragraph" w:styleId="NormalWeb">
    <w:name w:val="Normal (Web)"/>
    <w:basedOn w:val="Normal"/>
    <w:uiPriority w:val="99"/>
    <w:semiHidden/>
    <w:unhideWhenUsed/>
    <w:rsid w:val="000A19F1"/>
    <w:rPr>
      <w:rFonts w:ascii="Times New Roman" w:hAnsi="Times New Roman" w:cs="Times New Roman"/>
    </w:rPr>
  </w:style>
  <w:style w:type="character" w:styleId="Mencinsinresolver">
    <w:name w:val="Unresolved Mention"/>
    <w:basedOn w:val="Fuentedeprrafopredeter"/>
    <w:uiPriority w:val="99"/>
    <w:semiHidden/>
    <w:unhideWhenUsed/>
    <w:rsid w:val="00482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florez@atrev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nicura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icura.es/clinicas/velazquez-hospital-veterinari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nicur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seoane@atre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6a386fece7c0c735118079b3f8b0b5f9">
  <xsd:schema xmlns:xsd="http://www.w3.org/2001/XMLSchema" xmlns:xs="http://www.w3.org/2001/XMLSchema" xmlns:p="http://schemas.microsoft.com/office/2006/metadata/properties" xmlns:ns2="cfaf7a7c-573f-4f8d-a03a-88aa06b7e975" xmlns:ns3="03d0de6a-1365-4b12-aa96-d13adab2f979" targetNamespace="http://schemas.microsoft.com/office/2006/metadata/properties" ma:root="true" ma:fieldsID="ab3a2b30d3dffa6c9abef7d46413785b" ns2:_="" ns3:_="">
    <xsd:import namespace="cfaf7a7c-573f-4f8d-a03a-88aa06b7e975"/>
    <xsd:import namespace="03d0de6a-1365-4b12-aa96-d13adab2f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A6574-8DCF-4FFA-9C20-80D4F96B5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f7a7c-573f-4f8d-a03a-88aa06b7e975"/>
    <ds:schemaRef ds:uri="03d0de6a-1365-4b12-aa96-d13adab2f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254F3-8069-498A-A3B9-A0B5297D7A6C}">
  <ds:schemaRefs>
    <ds:schemaRef ds:uri="http://schemas.microsoft.com/office/2006/metadata/properties"/>
    <ds:schemaRef ds:uri="http://schemas.microsoft.com/office/infopath/2007/PartnerControls"/>
    <ds:schemaRef ds:uri="cfaf7a7c-573f-4f8d-a03a-88aa06b7e975"/>
  </ds:schemaRefs>
</ds:datastoreItem>
</file>

<file path=customXml/itemProps3.xml><?xml version="1.0" encoding="utf-8"?>
<ds:datastoreItem xmlns:ds="http://schemas.openxmlformats.org/officeDocument/2006/customXml" ds:itemID="{F9C2CCC2-4B78-4D8E-B4DC-1E66C3E90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5092</Characters>
  <Application>Microsoft Office Word</Application>
  <DocSecurity>4</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CharactersWithSpaces>
  <SharedDoc>false</SharedDoc>
  <HLinks>
    <vt:vector size="24" baseType="variant">
      <vt:variant>
        <vt:i4>7929921</vt:i4>
      </vt:variant>
      <vt:variant>
        <vt:i4>9</vt:i4>
      </vt:variant>
      <vt:variant>
        <vt:i4>0</vt:i4>
      </vt:variant>
      <vt:variant>
        <vt:i4>5</vt:i4>
      </vt:variant>
      <vt:variant>
        <vt:lpwstr>mailto:pseoane@atrevia.com</vt:lpwstr>
      </vt:variant>
      <vt:variant>
        <vt:lpwstr/>
      </vt:variant>
      <vt:variant>
        <vt:i4>7995487</vt:i4>
      </vt:variant>
      <vt:variant>
        <vt:i4>6</vt:i4>
      </vt:variant>
      <vt:variant>
        <vt:i4>0</vt:i4>
      </vt:variant>
      <vt:variant>
        <vt:i4>5</vt:i4>
      </vt:variant>
      <vt:variant>
        <vt:lpwstr>mailto:vflorez@atrevia.com</vt:lpwstr>
      </vt:variant>
      <vt:variant>
        <vt:lpwstr/>
      </vt:variant>
      <vt:variant>
        <vt:i4>6160473</vt:i4>
      </vt:variant>
      <vt:variant>
        <vt:i4>3</vt:i4>
      </vt:variant>
      <vt:variant>
        <vt:i4>0</vt:i4>
      </vt:variant>
      <vt:variant>
        <vt:i4>5</vt:i4>
      </vt:variant>
      <vt:variant>
        <vt:lpwstr>http://www.anicuragroup.com/</vt:lpwstr>
      </vt:variant>
      <vt:variant>
        <vt:lpwstr/>
      </vt:variant>
      <vt:variant>
        <vt:i4>6946873</vt:i4>
      </vt:variant>
      <vt:variant>
        <vt:i4>0</vt:i4>
      </vt:variant>
      <vt:variant>
        <vt:i4>0</vt:i4>
      </vt:variant>
      <vt:variant>
        <vt:i4>5</vt:i4>
      </vt:variant>
      <vt:variant>
        <vt:lpwstr>https://www.anicura.es/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Rodriguez Gonzalez</dc:creator>
  <cp:keywords/>
  <dc:description/>
  <cp:lastModifiedBy>Valentina Flórez Romero</cp:lastModifiedBy>
  <cp:revision>2</cp:revision>
  <dcterms:created xsi:type="dcterms:W3CDTF">2026-01-22T08:35:00Z</dcterms:created>
  <dcterms:modified xsi:type="dcterms:W3CDTF">2026-01-22T08:35:00Z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