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DIN Pro" w:cs="DIN Pro" w:eastAsia="DIN Pro" w:hAnsi="DIN Pro"/>
          <w:color w:val="000000"/>
          <w:sz w:val="18"/>
          <w:szCs w:val="18"/>
        </w:rPr>
      </w:pPr>
      <w:r w:rsidDel="00000000" w:rsidR="00000000" w:rsidRPr="00000000">
        <w:rPr>
          <w:rFonts w:ascii="DIN Pro" w:cs="DIN Pro" w:eastAsia="DIN Pro" w:hAnsi="DIN Pro"/>
          <w:color w:val="000000"/>
          <w:sz w:val="18"/>
          <w:szCs w:val="18"/>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DIN Pro" w:cs="DIN Pro" w:eastAsia="DIN Pro" w:hAnsi="DIN Pro"/>
          <w:color w:val="000000"/>
          <w:sz w:val="18"/>
          <w:szCs w:val="18"/>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b w:val="1"/>
          <w:bCs w:val="1"/>
          <w:color w:val="cc0000"/>
          <w:sz w:val="28"/>
          <w:szCs w:val="28"/>
        </w:rPr>
      </w:pPr>
      <w:r w:rsidDel="00000000" w:rsidR="00000000" w:rsidRPr="00000000">
        <w:rPr>
          <w:rFonts w:ascii="Calibri" w:cs="Calibri" w:eastAsia="Calibri" w:hAnsi="Calibri"/>
          <w:b w:val="1"/>
          <w:bCs w:val="1"/>
          <w:color w:val="cc0000"/>
          <w:sz w:val="28"/>
          <w:szCs w:val="28"/>
          <w:rtl w:val="0"/>
        </w:rPr>
        <w:t xml:space="preserve">La ciencia pone de manifiesto que las mascotas pueden envejecer de forma más saludable, pero los cuidadores no están actuando a tiempo</w:t>
      </w:r>
    </w:p>
    <w:p w:rsidR="00000000" w:rsidDel="00000000" w:rsidP="00000000" w:rsidRDefault="00000000" w:rsidRPr="00000000" w14:paraId="00000004">
      <w:pPr>
        <w:spacing w:after="0" w:lineRule="auto"/>
        <w:jc w:val="center"/>
        <w:rPr>
          <w:rFonts w:ascii="Calibri" w:cs="Calibri" w:eastAsia="Calibri" w:hAnsi="Calibri"/>
          <w:b w:val="1"/>
          <w:bCs w:val="1"/>
          <w:color w:val="cc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0000"/>
          <w:vertAlign w:val="superscript"/>
        </w:rPr>
      </w:pPr>
      <w:r w:rsidDel="00000000" w:rsidR="00000000" w:rsidRPr="00000000">
        <w:rPr>
          <w:rFonts w:ascii="Calibri" w:cs="Calibri" w:eastAsia="Calibri" w:hAnsi="Calibri"/>
          <w:rtl w:val="0"/>
        </w:rPr>
        <w:t xml:space="preserve">En línea con los datos del último estudio de Royal Canin</w:t>
      </w:r>
      <w:r w:rsidDel="00000000" w:rsidR="00000000" w:rsidRPr="00000000">
        <w:rPr>
          <w:rFonts w:ascii="Calibri" w:cs="Calibri" w:eastAsia="Calibri" w:hAnsi="Calibri"/>
          <w:color w:val="000000"/>
          <w:vertAlign w:val="superscript"/>
          <w:rtl w:val="0"/>
        </w:rPr>
        <w:t xml:space="preserve">1,4</w:t>
      </w:r>
      <w:r w:rsidDel="00000000" w:rsidR="00000000" w:rsidRPr="00000000">
        <w:rPr>
          <w:rFonts w:ascii="Calibri" w:cs="Calibri" w:eastAsia="Calibri" w:hAnsi="Calibri"/>
          <w:color w:val="000000"/>
          <w:rtl w:val="0"/>
        </w:rPr>
        <w:t xml:space="preserve">, los especialistas </w:t>
      </w:r>
      <w:r w:rsidDel="00000000" w:rsidR="00000000" w:rsidRPr="00000000">
        <w:rPr>
          <w:rFonts w:ascii="Calibri" w:cs="Calibri" w:eastAsia="Calibri" w:hAnsi="Calibri"/>
          <w:rtl w:val="0"/>
        </w:rPr>
        <w:t xml:space="preserve">asistentes al Vet Symposium 2026 alertan de la necesidad de anticipar las conversaciones sobre envejecimiento con la llegada a la madurez de las mascotas de la pandemia</w:t>
      </w:r>
      <w:r w:rsidDel="00000000" w:rsidR="00000000" w:rsidRPr="00000000">
        <w:rPr>
          <w:rFonts w:ascii="Calibri" w:cs="Calibri" w:eastAsia="Calibri" w:hAnsi="Calibri"/>
          <w:color w:val="000000"/>
          <w:vertAlign w:val="superscript"/>
          <w:rtl w:val="0"/>
        </w:rPr>
        <w:t xml:space="preserve">2,3</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b w:val="1"/>
          <w:bCs w:val="1"/>
          <w:color w:val="011893"/>
          <w:sz w:val="22"/>
          <w:szCs w:val="22"/>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 nueva evidencia científica compartida en el Vet Symposium 2026 de Royal Canin revela que es posible influir en el envejecimiento de las mascotas, e incluso modificarlo</w:t>
      </w:r>
      <w:r w:rsidDel="00000000" w:rsidR="00000000" w:rsidRPr="00000000">
        <w:rPr>
          <w:rFonts w:ascii="Calibri" w:cs="Calibri" w:eastAsia="Calibri" w:hAnsi="Calibri"/>
          <w:b w:val="1"/>
          <w:bCs w:val="1"/>
          <w:color w:val="000000"/>
          <w:sz w:val="22"/>
          <w:szCs w:val="22"/>
          <w:vertAlign w:val="superscript"/>
          <w:rtl w:val="0"/>
        </w:rPr>
        <w:t xml:space="preserve">1</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Sin embargo, muchos cuidadores no están actuando con suficiente antelación para conseguirlo: casi la mitad (46 %) de los encuestados evita hablar o pensar en el envejecimiento de su(s) mascota(s)* y 2 de cada 5 (44 %) solo se lo plantea cuando surgen problemas de salud*</w:t>
      </w:r>
      <w:r w:rsidDel="00000000" w:rsidR="00000000" w:rsidRPr="00000000">
        <w:rPr>
          <w:rFonts w:ascii="Calibri" w:cs="Calibri" w:eastAsia="Calibri" w:hAnsi="Calibri"/>
          <w:b w:val="1"/>
          <w:bCs w:val="1"/>
          <w:color w:val="000000"/>
          <w:sz w:val="22"/>
          <w:szCs w:val="22"/>
          <w:vertAlign w:val="superscript"/>
          <w:rtl w:val="0"/>
        </w:rPr>
        <w:t xml:space="preserve">4</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b w:val="1"/>
          <w:bCs w:val="1"/>
          <w:color w:val="000000"/>
          <w:sz w:val="6"/>
          <w:szCs w:val="6"/>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Ahora que millones de las “mascotas de la pandemia” llegan a la mediana edad</w:t>
      </w:r>
      <w:r w:rsidDel="00000000" w:rsidR="00000000" w:rsidRPr="00000000">
        <w:rPr>
          <w:rFonts w:ascii="Calibri" w:cs="Calibri" w:eastAsia="Calibri" w:hAnsi="Calibri"/>
          <w:b w:val="1"/>
          <w:bCs w:val="1"/>
          <w:color w:val="000000"/>
          <w:sz w:val="22"/>
          <w:szCs w:val="22"/>
          <w:vertAlign w:val="superscript"/>
          <w:rtl w:val="0"/>
        </w:rPr>
        <w:t xml:space="preserve">5</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es el momento ideal para mantener conversaciones más proactivas sobre un envejecimiento saludable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b w:val="1"/>
          <w:bCs w:val="1"/>
          <w:color w:val="000000"/>
          <w:sz w:val="6"/>
          <w:szCs w:val="6"/>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Royal Canin ha presentado una nueva guía de conversación sobre para fomentar la adopción de medidas tempranas en el manejo del envejecimiento saludable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color w:val="cc0000"/>
          <w:sz w:val="21"/>
          <w:szCs w:val="21"/>
          <w:rtl w:val="0"/>
        </w:rPr>
        <w:t xml:space="preserve">30 abril 2026, Madrid:</w:t>
      </w:r>
      <w:r w:rsidDel="00000000" w:rsidR="00000000" w:rsidRPr="00000000">
        <w:rPr>
          <w:rFonts w:ascii="Calibri" w:cs="Calibri" w:eastAsia="Calibri" w:hAnsi="Calibri"/>
          <w:color w:val="000000"/>
          <w:sz w:val="21"/>
          <w:szCs w:val="21"/>
          <w:rtl w:val="0"/>
        </w:rPr>
        <w:t xml:space="preserve"> </w:t>
      </w:r>
      <w:hyperlink r:id="rId7">
        <w:r w:rsidDel="00000000" w:rsidR="00000000" w:rsidRPr="00000000">
          <w:rPr>
            <w:rFonts w:ascii="Calibri" w:cs="Calibri" w:eastAsia="Calibri" w:hAnsi="Calibri"/>
            <w:color w:val="467886"/>
            <w:sz w:val="20"/>
            <w:szCs w:val="20"/>
            <w:u w:val="single"/>
            <w:rtl w:val="0"/>
          </w:rPr>
          <w:t xml:space="preserve">Royal Canin</w:t>
        </w:r>
      </w:hyperlink>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ha presentado un nuevo estudio durante el Vet Symposium 2026 que muestra que, aunque es posible lograr un envejecimiento más saludable en las mascotas, e incluso modificarlo, mediante una intervención temprana, muchos cuidadores siguen sin saber cuándo deben actuar.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color w:val="000000"/>
          <w:sz w:val="20"/>
          <w:szCs w:val="20"/>
          <w:vertAlign w:val="superscript"/>
        </w:rPr>
      </w:pPr>
      <w:r w:rsidDel="00000000" w:rsidR="00000000" w:rsidRPr="00000000">
        <w:rPr>
          <w:rFonts w:ascii="Calibri" w:cs="Calibri" w:eastAsia="Calibri" w:hAnsi="Calibri"/>
          <w:sz w:val="20"/>
          <w:szCs w:val="20"/>
          <w:rtl w:val="0"/>
        </w:rPr>
        <w:t xml:space="preserve">La evidencia científica revela que el envejecimiento es un proceso biológico gradual que comienza antes de lo que la mayoría de los propietarios creen, lo que refuerza la importancia del seguimiento periódico, la nutrición y la intervención en el caso que fuera necesario. </w:t>
      </w:r>
      <w:r w:rsidDel="00000000" w:rsidR="00000000" w:rsidRPr="00000000">
        <w:rPr>
          <w:rFonts w:ascii="Calibri" w:cs="Calibri" w:eastAsia="Calibri" w:hAnsi="Calibri"/>
          <w:color w:val="000000"/>
          <w:sz w:val="20"/>
          <w:szCs w:val="20"/>
          <w:rtl w:val="0"/>
        </w:rPr>
        <w:t xml:space="preserve">¹ </w:t>
      </w:r>
      <w:r w:rsidDel="00000000" w:rsidR="00000000" w:rsidRPr="00000000">
        <w:rPr>
          <w:rFonts w:ascii="Calibri" w:cs="Calibri" w:eastAsia="Calibri" w:hAnsi="Calibri"/>
          <w:sz w:val="20"/>
          <w:szCs w:val="20"/>
          <w:rtl w:val="0"/>
        </w:rPr>
        <w:t xml:space="preserve">Sin embargo, persisten los conceptos erróneos sobre el envejecimiento saludable. Un nuevo estudio elaborado por Royal Canin revela que más de un tercio (38 %) de los cuidadores encuestados cree que no se puede hacer nada para contrarrestar el envejecimiento de las mascotas, el 44 % solo se preocupa por ello cuando aparecen problemas de salud*, y un cuarto (25%)  desconoce que patologías como la diabetes pueden suponer un riesgo para las mascotas mayores.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vertAlign w:val="superscript"/>
          <w:rtl w:val="0"/>
        </w:rPr>
        <w:t xml:space="preserve">4</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Los “gatos y los perros de la pandemia” están llegando a la mediana edad</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color w:val="000000"/>
          <w:sz w:val="20"/>
          <w:szCs w:val="20"/>
          <w:vertAlign w:val="superscript"/>
        </w:rPr>
      </w:pPr>
      <w:r w:rsidDel="00000000" w:rsidR="00000000" w:rsidRPr="00000000">
        <w:rPr>
          <w:rFonts w:ascii="Calibri" w:cs="Calibri" w:eastAsia="Calibri" w:hAnsi="Calibri"/>
          <w:sz w:val="20"/>
          <w:szCs w:val="20"/>
          <w:rtl w:val="0"/>
        </w:rPr>
        <w:t xml:space="preserve">Estos hallazgos llegan en un momento crucial. El aumento del número de gatos y perros durante la pandemia de COVID-19 implica que una gran cantidad de ellas estén ahora entrando en la mediana edad, una etapa que cada vez más se reconoce como fundamental para una atención preventiva. A medida que estas mascotas envejecen, el interés de sus cuidadores está pasando de prolongar la esperanza de vida (el número total de años vividos) a incrementar el número de años vividos con buena salud y calidad de vida, antes de la aparición de enfermedades relacionadas con la edad o del deterioro físico</w:t>
      </w:r>
      <w:r w:rsidDel="00000000" w:rsidR="00000000" w:rsidRPr="00000000">
        <w:rPr>
          <w:rFonts w:ascii="Calibri" w:cs="Calibri" w:eastAsia="Calibri" w:hAnsi="Calibri"/>
          <w:color w:val="000000"/>
          <w:sz w:val="20"/>
          <w:szCs w:val="20"/>
          <w:rtl w:val="0"/>
        </w:rPr>
        <w:t xml:space="preserve">.</w:t>
      </w:r>
      <w:r w:rsidDel="00000000" w:rsidR="00000000" w:rsidRPr="00000000">
        <w:rPr>
          <w:rFonts w:ascii="Calibri" w:cs="Calibri" w:eastAsia="Calibri" w:hAnsi="Calibri"/>
          <w:color w:val="000000"/>
          <w:sz w:val="20"/>
          <w:szCs w:val="20"/>
          <w:vertAlign w:val="superscript"/>
          <w:rtl w:val="0"/>
        </w:rPr>
        <w:t xml:space="preserve">1</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Royal Canin Vet Symposium 2026</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iCs w:val="1"/>
          <w:sz w:val="20"/>
          <w:szCs w:val="20"/>
          <w:rtl w:val="0"/>
        </w:rPr>
        <w:t xml:space="preserve">Entering the age of tomorrow</w:t>
      </w:r>
      <w:r w:rsidDel="00000000" w:rsidR="00000000" w:rsidRPr="00000000">
        <w:rPr>
          <w:rFonts w:ascii="Calibri" w:cs="Calibri" w:eastAsia="Calibri" w:hAnsi="Calibri"/>
          <w:sz w:val="20"/>
          <w:szCs w:val="20"/>
          <w:rtl w:val="0"/>
        </w:rPr>
        <w:t xml:space="preserve">” ha sido el tema central del Royal Canin Vet Symposium 2026, en el que expertos de todo el mundo han analizado cómo la profesión veterinaria puede apoyar una atención más temprana y proactiva, al tiempo que han explorado el avance de la práctica veterinaria. El simposio, guiado por el principio de que cada año cuenta para un envejecimiento saludable, ha destacado el papel fundamental que desempeñan los equipos veterinarios a la hora de traducir la ciencia en acciones para mantener a los gatos y los perros en su mejor momento, al tiempo que ha contribuido a que los profesionales interpreten mejor las expectativas de los futuros propietarios de mascotas y cómo pueden adaptarse sus clínicas para dar respuesta.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Esta semana, el Vet Symposium 2026 de Montpellier acogió a más de 700 participantes, entre los que se encontraron profesionales veterinarios, periodistas y creadores de contenido procedentes de 80 países. El evento contó con sesiones específicas centradas en diferentes aspectos del envejecimiento saludable, como por ejemplo: </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28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El envejecimiento saludable en las mascotas: de la esperanza de vida a la esperanza de vida saludable</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28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Evitando la fragilidad: la nueva ciencia del tratamiento de la osteoartritis</w:t>
      </w: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28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Liderando el cambio: un enfoque humano para la adopción de la tecnología y la IA</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28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El envejecimiento saludable en la práctica: cómo ayudar a las mascotas a mantenerse en su mejor momento</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280" w:line="24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Avanzando hacia el futuro: la ciencia y el espíritu de la resiliencia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Las sesiones se basaron en un conjunto cada vez mayor de evidencias científicas, entre las que se incluyó el artículo </w:t>
      </w:r>
      <w:r w:rsidDel="00000000" w:rsidR="00000000" w:rsidRPr="00000000">
        <w:rPr>
          <w:rFonts w:ascii="Calibri" w:cs="Calibri" w:eastAsia="Calibri" w:hAnsi="Calibri"/>
          <w:color w:val="000000"/>
          <w:sz w:val="20"/>
          <w:szCs w:val="20"/>
          <w:rtl w:val="0"/>
        </w:rPr>
        <w:t xml:space="preserve">“</w:t>
      </w:r>
      <w:hyperlink r:id="rId8">
        <w:r w:rsidDel="00000000" w:rsidR="00000000" w:rsidRPr="00000000">
          <w:rPr>
            <w:rFonts w:ascii="Calibri" w:cs="Calibri" w:eastAsia="Calibri" w:hAnsi="Calibri"/>
            <w:color w:val="1155cc"/>
            <w:sz w:val="20"/>
            <w:szCs w:val="20"/>
            <w:u w:val="single"/>
            <w:rtl w:val="0"/>
          </w:rPr>
          <w:t xml:space="preserve">El envejecimiento modificable: perspectivas actuales sobre el envejecimiento saludable en gatos y perros de compañía</w:t>
        </w:r>
      </w:hyperlink>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publicado en JAVMA y galardonado como el artículo más comentado de la revista en 2025, así como nuevas publicaciones sobre el tratamiento nutricional de la osteoartritis, lo que refuerza aún más el papel de la intervención temprana y basada en la ciencia para mejorar los resultados de salud.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w:t>
      </w:r>
      <w:r w:rsidDel="00000000" w:rsidR="00000000" w:rsidRPr="00000000">
        <w:rPr>
          <w:rFonts w:ascii="Calibri" w:cs="Calibri" w:eastAsia="Calibri" w:hAnsi="Calibri"/>
          <w:b w:val="1"/>
          <w:bCs w:val="1"/>
          <w:sz w:val="20"/>
          <w:szCs w:val="20"/>
          <w:rtl w:val="0"/>
        </w:rPr>
        <w:t xml:space="preserve">Dra. Tanya Schoeman, veterinaria y especialista en salud felina de Royal Canin</w:t>
      </w:r>
      <w:r w:rsidDel="00000000" w:rsidR="00000000" w:rsidRPr="00000000">
        <w:rPr>
          <w:rFonts w:ascii="Calibri" w:cs="Calibri" w:eastAsia="Calibri" w:hAnsi="Calibri"/>
          <w:sz w:val="20"/>
          <w:szCs w:val="20"/>
          <w:rtl w:val="0"/>
        </w:rPr>
        <w:t xml:space="preserve">, ha explicado</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La ciencia nos da motivos reales para tener esperanza. Un envejecimiento más saludable está a nuestro alcance si actuamos en el momento adecuado. La oportunidad que se nos presenta no consiste en subsanar una laguna de conocimientos dentro de la profesión veterinaria, sino en hacer antes partícipes de esos conocimientos a los cuidadores, antes de que los signos del envejecimiento hagan que la conversación resulte urgente. Los propietarios anhelan profundamente que sus compañeros se encuentren bien y, cuando se les proporciona la información adecuada en el momento oportuno, están dispuestos a actuar. Considerar la mediana edad no como un periodo de espera sino como una ventana de posibilidades, podría permitir a los equipos veterinarios dar forma de manera proactiva a la trayectoria de envejecimiento de cada animal y mejorarla. Es un verdadero privilegio explorar cómo podemos hacerlo de forma más eficaz junto a algunos de los expertos y profesionales veterinarios más dedicados del mundo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24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Silvia Miret-Catalan, vicepresidenta global de Investigación y Desarrollo de Royal Canin</w:t>
      </w:r>
      <w:r w:rsidDel="00000000" w:rsidR="00000000" w:rsidRPr="00000000">
        <w:rPr>
          <w:rFonts w:ascii="Calibri" w:cs="Calibri" w:eastAsia="Calibri" w:hAnsi="Calibri"/>
          <w:sz w:val="20"/>
          <w:szCs w:val="20"/>
          <w:rtl w:val="0"/>
        </w:rPr>
        <w:t xml:space="preserve">, ha afirmado: “</w:t>
      </w:r>
      <w:r w:rsidDel="00000000" w:rsidR="00000000" w:rsidRPr="00000000">
        <w:rPr>
          <w:rFonts w:ascii="Calibri" w:cs="Calibri" w:eastAsia="Calibri" w:hAnsi="Calibri"/>
          <w:i w:val="1"/>
          <w:iCs w:val="1"/>
          <w:sz w:val="20"/>
          <w:szCs w:val="20"/>
          <w:rtl w:val="0"/>
        </w:rPr>
        <w:t xml:space="preserve">La nutrición puede desempeñar un papel importante a la hora de favorecer un envejecimiento saludable, desde influir en el desarrollo de cachorros y gatitos hasta contribuir a la salud cardíaca y a la capacidad del organismo para mantenerse fuerte y seguir funcionando correctamente con el paso del tiempo. En Royal Canin, nos centramos en una nutrición precisa y adaptada a cada etapa de la vida, diseñada para ayudar a los veterinarios a cuidar de las mascotas de forma proactiva, mucho antes de que aparezcan signos visibles de envejecimiento. Al integrar la nutrición en las estrategias de cuidado temprano, podemos contribuir a que los gatos y los perros mantengan su vitalidad y calidad de vida durante más tiempo”</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E">
      <w:pPr>
        <w:spacing w:after="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Fomentar la conversación con los cuidadores sobre el envejecimiento saludable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80" w:before="280"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Royal Canin también ha presentado una nueva guía de conversación sobre el envejecimiento saludable dirigida a los profesionales veterinarios. Basada en las últimas evidencias científicas y en los resultados del estudio con cuidadores</w:t>
      </w:r>
      <w:r w:rsidDel="00000000" w:rsidR="00000000" w:rsidRPr="00000000">
        <w:rPr>
          <w:rFonts w:ascii="Calibri" w:cs="Calibri" w:eastAsia="Calibri" w:hAnsi="Calibri"/>
          <w:color w:val="000000"/>
          <w:sz w:val="20"/>
          <w:szCs w:val="20"/>
          <w:vertAlign w:val="superscript"/>
          <w:rtl w:val="0"/>
        </w:rPr>
        <w:t xml:space="preserve">4</w:t>
      </w:r>
      <w:r w:rsidDel="00000000" w:rsidR="00000000" w:rsidRPr="00000000">
        <w:rPr>
          <w:rFonts w:ascii="Calibri" w:cs="Calibri" w:eastAsia="Calibri" w:hAnsi="Calibri"/>
          <w:color w:val="000000"/>
          <w:sz w:val="20"/>
          <w:szCs w:val="20"/>
          <w:rtl w:val="0"/>
        </w:rPr>
        <w:t xml:space="preserve">, l</w:t>
      </w:r>
      <w:r w:rsidDel="00000000" w:rsidR="00000000" w:rsidRPr="00000000">
        <w:rPr>
          <w:rFonts w:ascii="Calibri" w:cs="Calibri" w:eastAsia="Calibri" w:hAnsi="Calibri"/>
          <w:sz w:val="20"/>
          <w:szCs w:val="20"/>
          <w:rtl w:val="0"/>
        </w:rPr>
        <w:t xml:space="preserve">a guía está diseñada para ayudar a los equipos veterinarios a entablar conversaciones más tempranas y eficaces con los propietarios de mascotas, con el fin de facilitar la transición de una atención reactiva a un enfoque más proactivo y centrado en la salud a lo largo de toda la vida.</w:t>
      </w:r>
      <w:r w:rsidDel="00000000" w:rsidR="00000000" w:rsidRPr="00000000">
        <w:rPr>
          <w:rtl w:val="0"/>
        </w:rPr>
      </w:r>
    </w:p>
    <w:p w:rsidR="00000000" w:rsidDel="00000000" w:rsidP="00000000" w:rsidRDefault="00000000" w:rsidRPr="00000000" w14:paraId="00000020">
      <w:pPr>
        <w:spacing w:after="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b w:val="1"/>
          <w:bCs w:val="1"/>
          <w:color w:val="000000"/>
          <w:sz w:val="21"/>
          <w:szCs w:val="21"/>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1"/>
          <w:szCs w:val="21"/>
          <w:rtl w:val="0"/>
        </w:rPr>
        <w:t xml:space="preserve">Refere</w:t>
      </w:r>
      <w:r w:rsidDel="00000000" w:rsidR="00000000" w:rsidRPr="00000000">
        <w:rPr>
          <w:rFonts w:ascii="Calibri" w:cs="Calibri" w:eastAsia="Calibri" w:hAnsi="Calibri"/>
          <w:b w:val="1"/>
          <w:bCs w:val="1"/>
          <w:sz w:val="21"/>
          <w:szCs w:val="21"/>
          <w:rtl w:val="0"/>
        </w:rPr>
        <w:t xml:space="preserve">ncias</w:t>
      </w:r>
      <w:r w:rsidDel="00000000" w:rsidR="00000000" w:rsidRPr="00000000">
        <w:rPr>
          <w:rFonts w:ascii="Calibri" w:cs="Calibri" w:eastAsia="Calibri" w:hAnsi="Calibri"/>
          <w:b w:val="1"/>
          <w:bCs w:val="1"/>
          <w:color w:val="000000"/>
          <w:sz w:val="21"/>
          <w:szCs w:val="21"/>
          <w:rtl w:val="0"/>
        </w:rPr>
        <w:t xml:space="preserve">: </w:t>
      </w:r>
      <w:r w:rsidDel="00000000" w:rsidR="00000000" w:rsidRPr="00000000">
        <w:rPr>
          <w:rFonts w:ascii="Calibri" w:cs="Calibri" w:eastAsia="Calibri" w:hAnsi="Calibri"/>
          <w:color w:val="000000"/>
          <w:sz w:val="21"/>
          <w:szCs w:val="21"/>
          <w:rtl w:val="0"/>
        </w:rPr>
        <w:t xml:space="preserve"> </w:t>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Moniot, D., Allaway, D., Bermingham, E., Dowgray, N., Gruen, M., Hoummady, S., McKenzie, B., Olby, N.J., &amp; Schoeman, T. Aging is modifiable: current perspectives on healthy aging in companion dogs and cats. Royal Canin Research Center et al.</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Morgan, L. et al. (2020) ‘Human–dog relationships during the COVID-19 pandemic: booming dog adoption during social isolation’, Humanities and Social Sciences Communications, 7, 155. doi:10.1057/s41599-020-00649-x.</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Kennel Club (2020) ‘The COVID-19 puppy boom: one in four admit impulse buying a pandemic puppy’. Available at: </w:t>
      </w:r>
      <w:hyperlink r:id="rId9">
        <w:r w:rsidDel="00000000" w:rsidR="00000000" w:rsidRPr="00000000">
          <w:rPr>
            <w:rFonts w:ascii="Calibri" w:cs="Calibri" w:eastAsia="Calibri" w:hAnsi="Calibri"/>
            <w:color w:val="467886"/>
            <w:sz w:val="20"/>
            <w:szCs w:val="20"/>
            <w:u w:val="single"/>
            <w:rtl w:val="0"/>
          </w:rPr>
          <w:t xml:space="preserve">https://www.royalkennelclub.com/about-us/resources/media-centre/2020/august/the-covid-19-puppy-boom-one-in-four-admit-impulse-buying-a-pandemic-puppy/</w:t>
        </w:r>
      </w:hyperlink>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Censuswide survey of 19,012 pet owners globally, conducted in March 2026</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Mars Petcare. (2021). The State of the Pet Nation Report 2021.</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color w:val="000000"/>
          <w:sz w:val="21"/>
          <w:szCs w:val="21"/>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sz w:val="18"/>
          <w:szCs w:val="18"/>
        </w:rPr>
      </w:pPr>
      <w:r w:rsidDel="00000000" w:rsidR="00000000" w:rsidRPr="00000000">
        <w:rPr>
          <w:rFonts w:ascii="Calibri" w:cs="Calibri" w:eastAsia="Calibri" w:hAnsi="Calibri"/>
          <w:b w:val="1"/>
          <w:bCs w:val="1"/>
          <w:sz w:val="21"/>
          <w:szCs w:val="21"/>
          <w:rtl w:val="0"/>
        </w:rPr>
        <w:t xml:space="preserve">Sobre el estudio</w:t>
      </w: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p w:rsidR="00000000" w:rsidDel="00000000" w:rsidP="00000000" w:rsidRDefault="00000000" w:rsidRPr="00000000" w14:paraId="0000002B">
      <w:pPr>
        <w:shd w:fill="ffffff" w:val="clear"/>
        <w:spacing w:after="0" w:lineRule="auto"/>
        <w:jc w:val="both"/>
        <w:rPr>
          <w:rFonts w:ascii="Calibri" w:cs="Calibri" w:eastAsia="Calibri" w:hAnsi="Calibri"/>
        </w:rPr>
      </w:pPr>
      <w:r w:rsidDel="00000000" w:rsidR="00000000" w:rsidRPr="00000000">
        <w:rPr>
          <w:rFonts w:ascii="Calibri" w:cs="Calibri" w:eastAsia="Calibri" w:hAnsi="Calibri"/>
          <w:sz w:val="21"/>
          <w:szCs w:val="21"/>
          <w:rtl w:val="0"/>
        </w:rPr>
        <w:t xml:space="preserve">El estudio fue realizado por Censuswide entre una muestra de 19.012 cuidadores de gatos y perros en el Reino Unido, Estados Unidos, Australia, Canadá, India, México, China, Corea del Sur, Tailandia, Francia, Alemania, Italia, Portugal, España, Brasil, Japón, Hong Kong y Taiwán. Los datos se recopilaron entre el 17 y el 24 de marzo de 2026. Censuswide es miembro de la Market Research Society (MRS) y del British Polling Council (BPC), y signatario del Global Data Quality Pledge. Nos adherimos al Código de Conducta de la MRS y a los principios de ESOMAR.</w:t>
      </w:r>
      <w:r w:rsidDel="00000000" w:rsidR="00000000" w:rsidRPr="00000000">
        <w:rPr>
          <w:rtl w:val="0"/>
        </w:rPr>
      </w:r>
    </w:p>
    <w:p w:rsidR="00000000" w:rsidDel="00000000" w:rsidP="00000000" w:rsidRDefault="00000000" w:rsidRPr="00000000" w14:paraId="0000002C">
      <w:pPr>
        <w:shd w:fill="ffffff" w:val="clear"/>
        <w:spacing w:after="0" w:lineRule="auto"/>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SOBRE ROYAL CANIN®</w:t>
      </w:r>
    </w:p>
    <w:p w:rsidR="00000000" w:rsidDel="00000000" w:rsidP="00000000" w:rsidRDefault="00000000" w:rsidRPr="00000000" w14:paraId="0000002E">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after="0"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ROYAL CANIN® forma parte de la división Royal Canin del grupo Mars, Incorporated, y es un líder global en salud a través de la nutrición para gatos y perros, cumpliendo con su propósito: </w:t>
      </w:r>
      <w:r w:rsidDel="00000000" w:rsidR="00000000" w:rsidRPr="00000000">
        <w:rPr>
          <w:rFonts w:ascii="Calibri" w:cs="Calibri" w:eastAsia="Calibri" w:hAnsi="Calibri"/>
          <w:b w:val="1"/>
          <w:bCs w:val="1"/>
          <w:i w:val="1"/>
          <w:iCs w:val="1"/>
          <w:sz w:val="18"/>
          <w:szCs w:val="18"/>
          <w:rtl w:val="0"/>
        </w:rPr>
        <w:t xml:space="preserve">un mundo mejor para las mascotas</w:t>
      </w:r>
      <w:r w:rsidDel="00000000" w:rsidR="00000000" w:rsidRPr="00000000">
        <w:rPr>
          <w:rFonts w:ascii="Calibri" w:cs="Calibri" w:eastAsia="Calibri" w:hAnsi="Calibri"/>
          <w:i w:val="1"/>
          <w:iCs w:val="1"/>
          <w:sz w:val="18"/>
          <w:szCs w:val="18"/>
          <w:rtl w:val="0"/>
        </w:rPr>
        <w:t xml:space="preserve">. Fundada en 1968 por el veterinario francés Dr. Jean Cathary, ROYAL CANIN® diseña una nutrición precisa, basada en la ciencia, para gatos y perros, disponible en tiendas especializadas para mascotas y en clínicas veterinarias de todo el mundo.</w:t>
      </w:r>
    </w:p>
    <w:p w:rsidR="00000000" w:rsidDel="00000000" w:rsidP="00000000" w:rsidRDefault="00000000" w:rsidRPr="00000000" w14:paraId="00000030">
      <w:pPr>
        <w:spacing w:after="0"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31">
      <w:pPr>
        <w:spacing w:after="0"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A lo largo de los años, </w:t>
      </w:r>
      <w:r w:rsidDel="00000000" w:rsidR="00000000" w:rsidRPr="00000000">
        <w:rPr>
          <w:rFonts w:ascii="Calibri" w:cs="Calibri" w:eastAsia="Calibri" w:hAnsi="Calibri"/>
          <w:b w:val="1"/>
          <w:bCs w:val="1"/>
          <w:i w:val="1"/>
          <w:iCs w:val="1"/>
          <w:sz w:val="18"/>
          <w:szCs w:val="18"/>
          <w:rtl w:val="0"/>
        </w:rPr>
        <w:t xml:space="preserve">ROYAL CANIN® ha impulsado la nutrición y el conocimiento al asociarse con profesionales del sector de las mascotas</w:t>
      </w:r>
      <w:r w:rsidDel="00000000" w:rsidR="00000000" w:rsidRPr="00000000">
        <w:rPr>
          <w:rFonts w:ascii="Calibri" w:cs="Calibri" w:eastAsia="Calibri" w:hAnsi="Calibri"/>
          <w:i w:val="1"/>
          <w:iCs w:val="1"/>
          <w:sz w:val="18"/>
          <w:szCs w:val="18"/>
          <w:rtl w:val="0"/>
        </w:rPr>
        <w:t xml:space="preserve">, incluidos criadores y veterinarios. Su enfoque de negocio único sitúa las necesidades nutricionales de los gatos y perros en el centro de la innovación. Su edad, tamaño, raza y nivel de actividad son estudiados a través de ciencia y observación para crear dietas que den respuesta a las necesidades específicas de cada mascota.</w:t>
      </w:r>
    </w:p>
    <w:p w:rsidR="00000000" w:rsidDel="00000000" w:rsidP="00000000" w:rsidRDefault="00000000" w:rsidRPr="00000000" w14:paraId="00000032">
      <w:pPr>
        <w:spacing w:after="0"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33">
      <w:pPr>
        <w:spacing w:after="0"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ROYAL CANIN® genera valor no solo para las mascotas, sino también para las personas y el planeta. Esto significa ser </w:t>
      </w:r>
      <w:r w:rsidDel="00000000" w:rsidR="00000000" w:rsidRPr="00000000">
        <w:rPr>
          <w:rFonts w:ascii="Calibri" w:cs="Calibri" w:eastAsia="Calibri" w:hAnsi="Calibri"/>
          <w:b w:val="1"/>
          <w:bCs w:val="1"/>
          <w:i w:val="1"/>
          <w:iCs w:val="1"/>
          <w:sz w:val="18"/>
          <w:szCs w:val="18"/>
          <w:rtl w:val="0"/>
        </w:rPr>
        <w:t xml:space="preserve">mutuamente beneficioso para el ecosistema</w:t>
      </w:r>
      <w:r w:rsidDel="00000000" w:rsidR="00000000" w:rsidRPr="00000000">
        <w:rPr>
          <w:rFonts w:ascii="Calibri" w:cs="Calibri" w:eastAsia="Calibri" w:hAnsi="Calibri"/>
          <w:i w:val="1"/>
          <w:iCs w:val="1"/>
          <w:sz w:val="18"/>
          <w:szCs w:val="18"/>
          <w:rtl w:val="0"/>
        </w:rPr>
        <w:t xml:space="preserve">, empoderar a los asociados, construir relaciones duraderas con las partes interesadas y siempre pensar en cómo garantizar un futuro viable para las generaciones venideras.</w:t>
      </w:r>
    </w:p>
    <w:p w:rsidR="00000000" w:rsidDel="00000000" w:rsidP="00000000" w:rsidRDefault="00000000" w:rsidRPr="00000000" w14:paraId="00000034">
      <w:pPr>
        <w:spacing w:after="0"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35">
      <w:pPr>
        <w:spacing w:after="0" w:line="240" w:lineRule="auto"/>
        <w:jc w:val="both"/>
        <w:rPr>
          <w:rFonts w:ascii="DIN Pro" w:cs="DIN Pro" w:eastAsia="DIN Pro" w:hAnsi="DIN Pro"/>
          <w:sz w:val="21"/>
          <w:szCs w:val="21"/>
        </w:rPr>
      </w:pPr>
      <w:r w:rsidDel="00000000" w:rsidR="00000000" w:rsidRPr="00000000">
        <w:rPr>
          <w:rFonts w:ascii="Calibri" w:cs="Calibri" w:eastAsia="Calibri" w:hAnsi="Calibri"/>
          <w:i w:val="1"/>
          <w:iCs w:val="1"/>
          <w:sz w:val="18"/>
          <w:szCs w:val="18"/>
          <w:rtl w:val="0"/>
        </w:rPr>
        <w:t xml:space="preserve">Para obtener más información sobre ROYAL CANIN®, visita </w:t>
      </w:r>
      <w:hyperlink r:id="rId10">
        <w:r w:rsidDel="00000000" w:rsidR="00000000" w:rsidRPr="00000000">
          <w:rPr>
            <w:rFonts w:ascii="Calibri" w:cs="Calibri" w:eastAsia="Calibri" w:hAnsi="Calibri"/>
            <w:i w:val="1"/>
            <w:iCs w:val="1"/>
            <w:color w:val="1155cc"/>
            <w:sz w:val="18"/>
            <w:szCs w:val="18"/>
            <w:u w:val="single"/>
            <w:rtl w:val="0"/>
          </w:rPr>
          <w:t xml:space="preserve">www.royalcanin.com.</w:t>
        </w:r>
      </w:hyperlink>
      <w:r w:rsidDel="00000000" w:rsidR="00000000" w:rsidRPr="00000000">
        <w:rPr>
          <w:rtl w:val="0"/>
        </w:rPr>
      </w:r>
    </w:p>
    <w:p w:rsidR="00000000" w:rsidDel="00000000" w:rsidP="00000000" w:rsidRDefault="00000000" w:rsidRPr="00000000" w14:paraId="00000036">
      <w:pPr>
        <w:spacing w:after="0" w:line="240" w:lineRule="auto"/>
        <w:jc w:val="both"/>
        <w:rPr>
          <w:rFonts w:ascii="DIN Pro" w:cs="DIN Pro" w:eastAsia="DIN Pro" w:hAnsi="DIN Pro"/>
          <w:b w:val="1"/>
          <w:bCs w:val="1"/>
          <w:sz w:val="21"/>
          <w:szCs w:val="21"/>
        </w:rPr>
      </w:pPr>
      <w:r w:rsidDel="00000000" w:rsidR="00000000" w:rsidRPr="00000000">
        <w:rPr>
          <w:rtl w:val="0"/>
        </w:rPr>
      </w:r>
    </w:p>
    <w:p w:rsidR="00000000" w:rsidDel="00000000" w:rsidP="00000000" w:rsidRDefault="00000000" w:rsidRPr="00000000" w14:paraId="00000037">
      <w:pPr>
        <w:spacing w:after="0" w:line="240" w:lineRule="auto"/>
        <w:jc w:val="both"/>
        <w:rPr>
          <w:rFonts w:ascii="DIN Pro" w:cs="DIN Pro" w:eastAsia="DIN Pro" w:hAnsi="DIN Pro"/>
          <w:b w:val="1"/>
          <w:bCs w:val="1"/>
          <w:i w:val="1"/>
          <w:iCs w:val="1"/>
          <w:sz w:val="21"/>
          <w:szCs w:val="21"/>
        </w:rPr>
      </w:pPr>
      <w:r w:rsidDel="00000000" w:rsidR="00000000" w:rsidRPr="00000000">
        <w:rPr>
          <w:rFonts w:ascii="DIN Pro" w:cs="DIN Pro" w:eastAsia="DIN Pro" w:hAnsi="DIN Pro"/>
          <w:b w:val="1"/>
          <w:bCs w:val="1"/>
          <w:i w:val="1"/>
          <w:iCs w:val="1"/>
          <w:sz w:val="21"/>
          <w:szCs w:val="21"/>
          <w:rtl w:val="0"/>
        </w:rPr>
        <w:t xml:space="preserve">SOBRE MARS, INCORPORATED:  </w:t>
      </w:r>
    </w:p>
    <w:p w:rsidR="00000000" w:rsidDel="00000000" w:rsidP="00000000" w:rsidRDefault="00000000" w:rsidRPr="00000000" w14:paraId="00000038">
      <w:pPr>
        <w:spacing w:after="0" w:line="240" w:lineRule="auto"/>
        <w:jc w:val="both"/>
        <w:rPr>
          <w:rFonts w:ascii="DIN Pro" w:cs="DIN Pro" w:eastAsia="DIN Pro" w:hAnsi="DIN Pro"/>
          <w:b w:val="1"/>
          <w:bCs w:val="1"/>
          <w:i w:val="1"/>
          <w:iCs w:val="1"/>
          <w:sz w:val="21"/>
          <w:szCs w:val="21"/>
        </w:rPr>
      </w:pPr>
      <w:r w:rsidDel="00000000" w:rsidR="00000000" w:rsidRPr="00000000">
        <w:rPr>
          <w:rtl w:val="0"/>
        </w:rPr>
      </w:r>
    </w:p>
    <w:p w:rsidR="00000000" w:rsidDel="00000000" w:rsidP="00000000" w:rsidRDefault="00000000" w:rsidRPr="00000000" w14:paraId="00000039">
      <w:pPr>
        <w:spacing w:after="0" w:line="240" w:lineRule="auto"/>
        <w:jc w:val="both"/>
        <w:rPr>
          <w:rFonts w:ascii="Calibri" w:cs="Calibri" w:eastAsia="Calibri" w:hAnsi="Calibri"/>
          <w:i w:val="1"/>
          <w:iCs w:val="1"/>
          <w:color w:val="000000"/>
          <w:sz w:val="18"/>
          <w:szCs w:val="18"/>
        </w:rPr>
      </w:pPr>
      <w:r w:rsidDel="00000000" w:rsidR="00000000" w:rsidRPr="00000000">
        <w:rPr>
          <w:rFonts w:ascii="Calibri" w:cs="Calibri" w:eastAsia="Calibri" w:hAnsi="Calibri"/>
          <w:i w:val="1"/>
          <w:iCs w:val="1"/>
          <w:sz w:val="18"/>
          <w:szCs w:val="18"/>
          <w:rtl w:val="0"/>
        </w:rPr>
        <w:t xml:space="preserve">Mars, Incorporated se guía por la convicción de que el mundo que queremos para el mañana comienza por cómo hacemos negocios hoy. Como empresa familiar con una facturación superior a los 50 000 millones de dólares y más de 150 000 empleados, nuestra variada gama de productos líderes para el cuidado de mascotas y servicios veterinarios atiende a mascotas de todo el mundo, mientras que nuestros productos alimenticios y aperitivos de calidad deleitan a millones de personas cada día. Producimos algunas de las marcas más queridas del mundo, como ROYAL CANIN®, PEDIGREE®, WHISKAS®, CESAR®, DOVE®, EXTRA®, M&amp;M’s®, SNICKERS® y BEN’S ORIGINAL. Nuestras redes internacionales de clínicas veterinarias, entre las que se incluyen BANFIELD, BLUEPEARL, VCA y ANICURA, ofrecen atención veterinaria de alta calidad, y ANTECH® ofrece capacidades innovadoras en el diagnóstico de mascotas. Para obtener más información sobre Mars, visite www.mars.com. Síganos en Facebook, Instagram, LinkedIn y YouTube. </w:t>
      </w:r>
      <w:r w:rsidDel="00000000" w:rsidR="00000000" w:rsidRPr="00000000">
        <w:rPr>
          <w:rFonts w:ascii="Calibri" w:cs="Calibri" w:eastAsia="Calibri" w:hAnsi="Calibri"/>
          <w:i w:val="1"/>
          <w:iCs w:val="1"/>
          <w:color w:val="000000"/>
          <w:sz w:val="18"/>
          <w:szCs w:val="18"/>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DIN Pro" w:cs="DIN Pro" w:eastAsia="DIN Pro" w:hAnsi="DIN Pro"/>
          <w:color w:val="000000"/>
          <w:sz w:val="18"/>
          <w:szCs w:val="18"/>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b w:val="1"/>
          <w:bCs w:val="1"/>
          <w:i w:val="1"/>
          <w:iCs w:val="1"/>
          <w:sz w:val="20"/>
          <w:szCs w:val="20"/>
          <w:u w:val="single"/>
        </w:rPr>
      </w:pPr>
      <w:r w:rsidDel="00000000" w:rsidR="00000000" w:rsidRPr="00000000">
        <w:rPr>
          <w:rFonts w:ascii="Calibri" w:cs="Calibri" w:eastAsia="Calibri" w:hAnsi="Calibri"/>
          <w:b w:val="1"/>
          <w:bCs w:val="1"/>
          <w:i w:val="1"/>
          <w:iCs w:val="1"/>
          <w:sz w:val="20"/>
          <w:szCs w:val="20"/>
          <w:u w:val="single"/>
          <w:rtl w:val="0"/>
        </w:rPr>
        <w:t xml:space="preserve">Para más información</w:t>
      </w:r>
    </w:p>
    <w:p w:rsidR="00000000" w:rsidDel="00000000" w:rsidP="00000000" w:rsidRDefault="00000000" w:rsidRPr="00000000" w14:paraId="0000003C">
      <w:pPr>
        <w:spacing w:after="0" w:line="240" w:lineRule="auto"/>
        <w:rPr>
          <w:rFonts w:ascii="Calibri" w:cs="Calibri" w:eastAsia="Calibri" w:hAnsi="Calibri"/>
          <w:b w:val="1"/>
          <w:bCs w:val="1"/>
          <w:i w:val="1"/>
          <w:iCs w:val="1"/>
          <w:sz w:val="20"/>
          <w:szCs w:val="20"/>
          <w:u w:val="single"/>
        </w:rPr>
      </w:pPr>
      <w:r w:rsidDel="00000000" w:rsidR="00000000" w:rsidRPr="00000000">
        <w:rPr>
          <w:rtl w:val="0"/>
        </w:rPr>
      </w:r>
    </w:p>
    <w:p w:rsidR="00000000" w:rsidDel="00000000" w:rsidP="00000000" w:rsidRDefault="00000000" w:rsidRPr="00000000" w14:paraId="0000003D">
      <w:pPr>
        <w:spacing w:after="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i w:val="1"/>
          <w:iCs w:val="1"/>
          <w:sz w:val="20"/>
          <w:szCs w:val="20"/>
          <w:rtl w:val="0"/>
        </w:rPr>
        <w:t xml:space="preserve">True PR</w:t>
      </w:r>
      <w:r w:rsidDel="00000000" w:rsidR="00000000" w:rsidRPr="00000000">
        <w:rPr>
          <w:rtl w:val="0"/>
        </w:rPr>
      </w:r>
    </w:p>
    <w:p w:rsidR="00000000" w:rsidDel="00000000" w:rsidP="00000000" w:rsidRDefault="00000000" w:rsidRPr="00000000" w14:paraId="0000003E">
      <w:pPr>
        <w:spacing w:after="0"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Paula Buedo (</w:t>
      </w:r>
      <w:hyperlink r:id="rId11">
        <w:r w:rsidDel="00000000" w:rsidR="00000000" w:rsidRPr="00000000">
          <w:rPr>
            <w:rFonts w:ascii="Calibri" w:cs="Calibri" w:eastAsia="Calibri" w:hAnsi="Calibri"/>
            <w:i w:val="1"/>
            <w:iCs w:val="1"/>
            <w:color w:val="1155cc"/>
            <w:sz w:val="20"/>
            <w:szCs w:val="20"/>
            <w:u w:val="single"/>
            <w:rtl w:val="0"/>
          </w:rPr>
          <w:t xml:space="preserve">paula.buedo@truepr.es</w:t>
        </w:r>
      </w:hyperlink>
      <w:r w:rsidDel="00000000" w:rsidR="00000000" w:rsidRPr="00000000">
        <w:rPr>
          <w:rFonts w:ascii="Calibri" w:cs="Calibri" w:eastAsia="Calibri" w:hAnsi="Calibri"/>
          <w:i w:val="1"/>
          <w:iCs w:val="1"/>
          <w:sz w:val="20"/>
          <w:szCs w:val="20"/>
          <w:rtl w:val="0"/>
        </w:rPr>
        <w:t xml:space="preserve">)</w:t>
      </w:r>
    </w:p>
    <w:p w:rsidR="00000000" w:rsidDel="00000000" w:rsidP="00000000" w:rsidRDefault="00000000" w:rsidRPr="00000000" w14:paraId="0000003F">
      <w:pPr>
        <w:spacing w:after="0"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Sara Martín (</w:t>
      </w:r>
      <w:hyperlink r:id="rId12">
        <w:r w:rsidDel="00000000" w:rsidR="00000000" w:rsidRPr="00000000">
          <w:rPr>
            <w:rFonts w:ascii="Calibri" w:cs="Calibri" w:eastAsia="Calibri" w:hAnsi="Calibri"/>
            <w:i w:val="1"/>
            <w:iCs w:val="1"/>
            <w:color w:val="1155cc"/>
            <w:sz w:val="20"/>
            <w:szCs w:val="20"/>
            <w:u w:val="single"/>
            <w:rtl w:val="0"/>
          </w:rPr>
          <w:t xml:space="preserve">sara.martin@truepr.es</w:t>
        </w:r>
      </w:hyperlink>
      <w:r w:rsidDel="00000000" w:rsidR="00000000" w:rsidRPr="00000000">
        <w:rPr>
          <w:rFonts w:ascii="Calibri" w:cs="Calibri" w:eastAsia="Calibri" w:hAnsi="Calibri"/>
          <w:i w:val="1"/>
          <w:iCs w:val="1"/>
          <w:sz w:val="20"/>
          <w:szCs w:val="20"/>
          <w:rtl w:val="0"/>
        </w:rPr>
        <w:t xml:space="preserve">)</w:t>
      </w:r>
    </w:p>
    <w:p w:rsidR="00000000" w:rsidDel="00000000" w:rsidP="00000000" w:rsidRDefault="00000000" w:rsidRPr="00000000" w14:paraId="00000040">
      <w:pPr>
        <w:spacing w:after="0"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Yoana Descalzo (</w:t>
      </w:r>
      <w:hyperlink r:id="rId13">
        <w:r w:rsidDel="00000000" w:rsidR="00000000" w:rsidRPr="00000000">
          <w:rPr>
            <w:rFonts w:ascii="Calibri" w:cs="Calibri" w:eastAsia="Calibri" w:hAnsi="Calibri"/>
            <w:i w:val="1"/>
            <w:iCs w:val="1"/>
            <w:color w:val="1155cc"/>
            <w:sz w:val="20"/>
            <w:szCs w:val="20"/>
            <w:u w:val="single"/>
            <w:rtl w:val="0"/>
          </w:rPr>
          <w:t xml:space="preserve">yoana.descalzo@truepr.es</w:t>
        </w:r>
      </w:hyperlink>
      <w:r w:rsidDel="00000000" w:rsidR="00000000" w:rsidRPr="00000000">
        <w:rPr>
          <w:rFonts w:ascii="Calibri" w:cs="Calibri" w:eastAsia="Calibri" w:hAnsi="Calibri"/>
          <w:i w:val="1"/>
          <w:iCs w:val="1"/>
          <w:sz w:val="20"/>
          <w:szCs w:val="20"/>
          <w:rtl w:val="0"/>
        </w:rPr>
        <w:t xml:space="preserve">)</w:t>
      </w:r>
    </w:p>
    <w:p w:rsidR="00000000" w:rsidDel="00000000" w:rsidP="00000000" w:rsidRDefault="00000000" w:rsidRPr="00000000" w14:paraId="00000041">
      <w:pPr>
        <w:spacing w:after="0" w:line="276"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638 34 83 84</w:t>
      </w:r>
    </w:p>
    <w:p w:rsidR="00000000" w:rsidDel="00000000" w:rsidP="00000000" w:rsidRDefault="00000000" w:rsidRPr="00000000" w14:paraId="00000042">
      <w:pPr>
        <w:spacing w:after="0" w:line="240" w:lineRule="auto"/>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043">
      <w:pPr>
        <w:spacing w:after="0" w:line="240" w:lineRule="auto"/>
        <w:ind w:left="-5" w:hanging="1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Royal Canin </w:t>
      </w:r>
    </w:p>
    <w:p w:rsidR="00000000" w:rsidDel="00000000" w:rsidP="00000000" w:rsidRDefault="00000000" w:rsidRPr="00000000" w14:paraId="00000044">
      <w:pPr>
        <w:spacing w:after="0" w:line="240" w:lineRule="auto"/>
        <w:ind w:left="-5" w:hanging="10"/>
        <w:rPr>
          <w:rFonts w:ascii="DIN Pro" w:cs="DIN Pro" w:eastAsia="DIN Pro" w:hAnsi="DIN Pro"/>
          <w:sz w:val="18"/>
          <w:szCs w:val="18"/>
        </w:rPr>
      </w:pPr>
      <w:r w:rsidDel="00000000" w:rsidR="00000000" w:rsidRPr="00000000">
        <w:rPr>
          <w:rFonts w:ascii="Calibri" w:cs="Calibri" w:eastAsia="Calibri" w:hAnsi="Calibri"/>
          <w:i w:val="1"/>
          <w:iCs w:val="1"/>
          <w:sz w:val="20"/>
          <w:szCs w:val="20"/>
          <w:rtl w:val="0"/>
        </w:rPr>
        <w:t xml:space="preserve">Carlota de Lucas (</w:t>
      </w:r>
      <w:r w:rsidDel="00000000" w:rsidR="00000000" w:rsidRPr="00000000">
        <w:rPr>
          <w:rFonts w:ascii="Calibri" w:cs="Calibri" w:eastAsia="Calibri" w:hAnsi="Calibri"/>
          <w:i w:val="1"/>
          <w:iCs w:val="1"/>
          <w:color w:val="0563c1"/>
          <w:sz w:val="20"/>
          <w:szCs w:val="20"/>
          <w:u w:val="single"/>
          <w:rtl w:val="0"/>
        </w:rPr>
        <w:t xml:space="preserve">carlota.de.lucas@royalcanin.com</w:t>
      </w:r>
      <w:r w:rsidDel="00000000" w:rsidR="00000000" w:rsidRPr="00000000">
        <w:rPr>
          <w:rFonts w:ascii="Calibri" w:cs="Calibri" w:eastAsia="Calibri" w:hAnsi="Calibri"/>
          <w:i w:val="1"/>
          <w:iCs w:val="1"/>
          <w:sz w:val="20"/>
          <w:szCs w:val="20"/>
          <w:rtl w:val="0"/>
        </w:rPr>
        <w:t xml:space="preserve">) </w:t>
      </w:r>
      <w:r w:rsidDel="00000000" w:rsidR="00000000" w:rsidRPr="00000000">
        <w:rPr>
          <w:rtl w:val="0"/>
        </w:rPr>
      </w:r>
    </w:p>
    <w:sectPr>
      <w:headerReference r:id="rId14" w:type="default"/>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DIN Pro"/>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115" w:firstLine="0"/>
            <w:rPr>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115"/>
            <w:jc w:val="right"/>
            <w:rPr>
              <w:color w:val="000000"/>
            </w:rPr>
          </w:pPr>
          <w:r w:rsidDel="00000000" w:rsidR="00000000" w:rsidRPr="00000000">
            <w:rPr>
              <w:rtl w:val="0"/>
            </w:rPr>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1195052" cy="447414"/>
          <wp:effectExtent b="0" l="0" r="0" t="0"/>
          <wp:docPr descr="A red logo with a crown and text&#10;&#10;AI-generated content may be incorrect." id="1" name="image1.png"/>
          <a:graphic>
            <a:graphicData uri="http://schemas.openxmlformats.org/drawingml/2006/picture">
              <pic:pic>
                <pic:nvPicPr>
                  <pic:cNvPr descr="A red logo with a crown and text&#10;&#10;AI-generated content may be incorrect." id="0" name="image1.png"/>
                  <pic:cNvPicPr preferRelativeResize="0"/>
                </pic:nvPicPr>
                <pic:blipFill>
                  <a:blip r:embed="rId1"/>
                  <a:srcRect b="0" l="0" r="0" t="0"/>
                  <a:stretch>
                    <a:fillRect/>
                  </a:stretch>
                </pic:blipFill>
                <pic:spPr>
                  <a:xfrm>
                    <a:off x="0" y="0"/>
                    <a:ext cx="1195052" cy="4474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rene.jauregui@truepr.es" TargetMode="External"/><Relationship Id="rId10" Type="http://schemas.openxmlformats.org/officeDocument/2006/relationships/hyperlink" Target="http://www.royalcanin.com" TargetMode="External"/><Relationship Id="rId13" Type="http://schemas.openxmlformats.org/officeDocument/2006/relationships/hyperlink" Target="mailto:yoana.descalzo@truepr.es" TargetMode="External"/><Relationship Id="rId12" Type="http://schemas.openxmlformats.org/officeDocument/2006/relationships/hyperlink" Target="mailto:sara.martin@truep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yalkennelclub.com/about-us/resources/media-centre/2020/august/the-covid-19-puppy-boom-one-in-four-admit-impulse-buying-a-pandemic-puppy/"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yalcanin.com/uk" TargetMode="External"/><Relationship Id="rId8" Type="http://schemas.openxmlformats.org/officeDocument/2006/relationships/hyperlink" Target="https://avmajournals.avma.org/view/journals/javma/264/2/javma.25.06.0412.x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cq/X4WAA6N7VyeQDhxo66R9tQ==">CgMxLjA4AHIhMWwtYW9KbUMwMHUtbEZtdEo3YVF2Rk5Fdy1KSVM1NG5m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0x01010085A5D2679F2CA340987A2F748C51DB9A</vt:lpwstr>
  </property>
  <property fmtid="{D5CDD505-2E9C-101B-9397-08002B2CF9AE}" pid="3" name="MediaServiceImageTags">
    <vt:lpwstr>MediaServiceImageTags</vt:lpwstr>
  </property>
  <property fmtid="{D5CDD505-2E9C-101B-9397-08002B2CF9AE}" pid="4" name="docLang">
    <vt:lpwstr>en</vt:lpwstr>
  </property>
</Properties>
</file>