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FE1D2" w14:textId="088B5FD3" w:rsidR="00F476BE" w:rsidRPr="00114C49" w:rsidRDefault="000E383C" w:rsidP="004E390B">
      <w:pPr>
        <w:spacing w:line="240" w:lineRule="auto"/>
        <w:rPr>
          <w:rFonts w:ascii="Arial" w:hAnsi="Arial" w:cs="Arial"/>
          <w:b/>
          <w:sz w:val="30"/>
          <w:szCs w:val="30"/>
        </w:rPr>
      </w:pPr>
      <w:r w:rsidRPr="00114C49">
        <w:rPr>
          <w:rFonts w:ascii="Arial" w:hAnsi="Arial" w:cs="Arial"/>
          <w:b/>
          <w:sz w:val="30"/>
          <w:szCs w:val="30"/>
        </w:rPr>
        <w:t xml:space="preserve">Elanco lanza </w:t>
      </w:r>
      <w:proofErr w:type="spellStart"/>
      <w:r w:rsidRPr="00114C49">
        <w:rPr>
          <w:rFonts w:ascii="Arial" w:hAnsi="Arial" w:cs="Arial"/>
          <w:b/>
          <w:sz w:val="30"/>
          <w:szCs w:val="30"/>
        </w:rPr>
        <w:t>Varenzin</w:t>
      </w:r>
      <w:proofErr w:type="spellEnd"/>
      <w:r w:rsidRPr="00114C49">
        <w:rPr>
          <w:rFonts w:ascii="Arial" w:hAnsi="Arial" w:cs="Arial"/>
          <w:b/>
          <w:sz w:val="30"/>
          <w:szCs w:val="30"/>
          <w:vertAlign w:val="superscript"/>
        </w:rPr>
        <w:t>®</w:t>
      </w:r>
      <w:r w:rsidRPr="00114C49">
        <w:rPr>
          <w:rFonts w:ascii="Arial" w:hAnsi="Arial" w:cs="Arial"/>
          <w:b/>
          <w:sz w:val="30"/>
          <w:szCs w:val="30"/>
        </w:rPr>
        <w:t xml:space="preserve">, </w:t>
      </w:r>
      <w:r w:rsidR="00AA4F36" w:rsidRPr="00114C49">
        <w:rPr>
          <w:rFonts w:ascii="Arial" w:hAnsi="Arial" w:cs="Arial"/>
          <w:b/>
          <w:sz w:val="30"/>
          <w:szCs w:val="30"/>
        </w:rPr>
        <w:t>el primer y único medicamento</w:t>
      </w:r>
      <w:r w:rsidR="002471FF" w:rsidRPr="00114C49">
        <w:rPr>
          <w:rFonts w:ascii="Arial" w:hAnsi="Arial" w:cs="Arial"/>
          <w:b/>
          <w:sz w:val="30"/>
          <w:szCs w:val="30"/>
        </w:rPr>
        <w:t xml:space="preserve"> veterinario </w:t>
      </w:r>
      <w:r w:rsidR="00AA4F36" w:rsidRPr="00114C49">
        <w:rPr>
          <w:rFonts w:ascii="Arial" w:hAnsi="Arial" w:cs="Arial"/>
          <w:b/>
          <w:sz w:val="30"/>
          <w:szCs w:val="30"/>
        </w:rPr>
        <w:t xml:space="preserve">aprobado para </w:t>
      </w:r>
      <w:r w:rsidR="002471FF" w:rsidRPr="00114C49">
        <w:rPr>
          <w:rFonts w:ascii="Arial" w:hAnsi="Arial" w:cs="Arial"/>
          <w:b/>
          <w:sz w:val="30"/>
          <w:szCs w:val="30"/>
        </w:rPr>
        <w:t xml:space="preserve">el manejo de </w:t>
      </w:r>
      <w:r w:rsidR="00AA4F36" w:rsidRPr="00114C49">
        <w:rPr>
          <w:rFonts w:ascii="Arial" w:hAnsi="Arial" w:cs="Arial"/>
          <w:b/>
          <w:sz w:val="30"/>
          <w:szCs w:val="30"/>
        </w:rPr>
        <w:t>la anemia no regenerativa asociada a ERC en gatos</w:t>
      </w:r>
    </w:p>
    <w:p w14:paraId="518E2353" w14:textId="59EEDF19" w:rsidR="000E383C" w:rsidRPr="00114C49" w:rsidRDefault="000E383C" w:rsidP="004E390B">
      <w:pPr>
        <w:pStyle w:val="Prrafodelista"/>
        <w:numPr>
          <w:ilvl w:val="0"/>
          <w:numId w:val="6"/>
        </w:numPr>
        <w:spacing w:before="100" w:beforeAutospacing="1" w:after="100" w:afterAutospacing="1" w:line="240" w:lineRule="auto"/>
        <w:rPr>
          <w:rFonts w:ascii="Arial" w:hAnsi="Arial" w:cs="Arial"/>
          <w:b/>
          <w:sz w:val="21"/>
          <w:szCs w:val="21"/>
        </w:rPr>
      </w:pPr>
      <w:proofErr w:type="spellStart"/>
      <w:r w:rsidRPr="00114C49">
        <w:rPr>
          <w:rFonts w:ascii="Arial" w:hAnsi="Arial" w:cs="Arial"/>
          <w:b/>
          <w:sz w:val="21"/>
          <w:szCs w:val="21"/>
        </w:rPr>
        <w:t>Varenzin</w:t>
      </w:r>
      <w:proofErr w:type="spellEnd"/>
      <w:r w:rsidRPr="00114C49">
        <w:rPr>
          <w:rFonts w:ascii="Arial" w:hAnsi="Arial" w:cs="Arial"/>
          <w:b/>
          <w:sz w:val="21"/>
          <w:szCs w:val="21"/>
          <w:vertAlign w:val="superscript"/>
        </w:rPr>
        <w:t>®</w:t>
      </w:r>
      <w:r w:rsidRPr="00114C49">
        <w:rPr>
          <w:rFonts w:ascii="Arial" w:hAnsi="Arial" w:cs="Arial"/>
          <w:b/>
          <w:sz w:val="21"/>
          <w:szCs w:val="21"/>
        </w:rPr>
        <w:t xml:space="preserve"> es el primer </w:t>
      </w:r>
      <w:r w:rsidR="00BA47BC" w:rsidRPr="00114C49">
        <w:rPr>
          <w:rFonts w:ascii="Arial" w:hAnsi="Arial" w:cs="Arial"/>
          <w:b/>
          <w:sz w:val="21"/>
          <w:szCs w:val="21"/>
        </w:rPr>
        <w:t>y único medicamento registrado</w:t>
      </w:r>
      <w:r w:rsidRPr="00114C49">
        <w:rPr>
          <w:rFonts w:ascii="Arial" w:hAnsi="Arial" w:cs="Arial"/>
          <w:b/>
          <w:sz w:val="21"/>
          <w:szCs w:val="21"/>
        </w:rPr>
        <w:t xml:space="preserve"> específicamente para </w:t>
      </w:r>
      <w:r w:rsidR="00AA4F36" w:rsidRPr="00114C49">
        <w:rPr>
          <w:rFonts w:ascii="Arial" w:hAnsi="Arial" w:cs="Arial"/>
          <w:b/>
          <w:sz w:val="21"/>
          <w:szCs w:val="21"/>
        </w:rPr>
        <w:t xml:space="preserve">la </w:t>
      </w:r>
      <w:r w:rsidR="00417BC0" w:rsidRPr="00114C49">
        <w:rPr>
          <w:rFonts w:ascii="Arial" w:hAnsi="Arial" w:cs="Arial"/>
          <w:b/>
          <w:sz w:val="21"/>
          <w:szCs w:val="21"/>
        </w:rPr>
        <w:t xml:space="preserve">anemia no regenerativa asociada a la </w:t>
      </w:r>
      <w:r w:rsidR="00AA4F36" w:rsidRPr="00114C49">
        <w:rPr>
          <w:rFonts w:ascii="Arial" w:hAnsi="Arial" w:cs="Arial"/>
          <w:b/>
          <w:sz w:val="21"/>
          <w:szCs w:val="21"/>
        </w:rPr>
        <w:t>enfermedad renal crónica</w:t>
      </w:r>
      <w:r w:rsidRPr="00114C49">
        <w:rPr>
          <w:rFonts w:ascii="Arial" w:hAnsi="Arial" w:cs="Arial"/>
          <w:b/>
          <w:sz w:val="21"/>
          <w:szCs w:val="21"/>
        </w:rPr>
        <w:t xml:space="preserve"> en </w:t>
      </w:r>
      <w:r w:rsidR="006478B0" w:rsidRPr="00114C49">
        <w:rPr>
          <w:rFonts w:ascii="Arial" w:hAnsi="Arial" w:cs="Arial"/>
          <w:b/>
          <w:sz w:val="21"/>
          <w:szCs w:val="21"/>
        </w:rPr>
        <w:t>gatos, marcando un avance significativo en la medicina felina</w:t>
      </w:r>
      <w:r w:rsidRPr="00114C49">
        <w:rPr>
          <w:rFonts w:ascii="Arial" w:hAnsi="Arial" w:cs="Arial"/>
          <w:b/>
          <w:sz w:val="21"/>
          <w:szCs w:val="21"/>
        </w:rPr>
        <w:t>.</w:t>
      </w:r>
    </w:p>
    <w:p w14:paraId="3217956B" w14:textId="77777777" w:rsidR="000E383C" w:rsidRPr="00114C49" w:rsidRDefault="000E383C" w:rsidP="004E390B">
      <w:pPr>
        <w:pStyle w:val="Prrafodelista"/>
        <w:spacing w:before="100" w:beforeAutospacing="1" w:after="100" w:afterAutospacing="1" w:line="240" w:lineRule="auto"/>
        <w:rPr>
          <w:rFonts w:ascii="Arial" w:hAnsi="Arial" w:cs="Arial"/>
          <w:b/>
          <w:sz w:val="21"/>
          <w:szCs w:val="21"/>
        </w:rPr>
      </w:pPr>
    </w:p>
    <w:p w14:paraId="237B5409" w14:textId="5B32C7A1" w:rsidR="000E383C" w:rsidRPr="00114C49" w:rsidRDefault="000E383C" w:rsidP="004E390B">
      <w:pPr>
        <w:pStyle w:val="Prrafodelista"/>
        <w:numPr>
          <w:ilvl w:val="0"/>
          <w:numId w:val="6"/>
        </w:numPr>
        <w:spacing w:before="100" w:beforeAutospacing="1" w:after="100" w:afterAutospacing="1" w:line="240" w:lineRule="auto"/>
        <w:rPr>
          <w:rFonts w:ascii="Arial" w:hAnsi="Arial" w:cs="Arial"/>
          <w:b/>
          <w:sz w:val="21"/>
          <w:szCs w:val="21"/>
        </w:rPr>
      </w:pPr>
      <w:r w:rsidRPr="00114C49">
        <w:rPr>
          <w:rFonts w:ascii="Arial" w:hAnsi="Arial" w:cs="Arial"/>
          <w:b/>
          <w:sz w:val="21"/>
          <w:szCs w:val="21"/>
        </w:rPr>
        <w:t xml:space="preserve">Su principio activo, </w:t>
      </w:r>
      <w:proofErr w:type="spellStart"/>
      <w:r w:rsidRPr="00114C49">
        <w:rPr>
          <w:rFonts w:ascii="Arial" w:hAnsi="Arial" w:cs="Arial"/>
          <w:b/>
          <w:sz w:val="21"/>
          <w:szCs w:val="21"/>
        </w:rPr>
        <w:t>molidustat</w:t>
      </w:r>
      <w:proofErr w:type="spellEnd"/>
      <w:r w:rsidRPr="00114C49">
        <w:rPr>
          <w:rFonts w:ascii="Arial" w:hAnsi="Arial" w:cs="Arial"/>
          <w:b/>
          <w:sz w:val="21"/>
          <w:szCs w:val="21"/>
        </w:rPr>
        <w:t xml:space="preserve">, se basa en un mecanismo de acción reconocido con el Premio Nobel </w:t>
      </w:r>
      <w:r w:rsidR="00AA4F36" w:rsidRPr="00114C49">
        <w:rPr>
          <w:rFonts w:ascii="Arial" w:hAnsi="Arial" w:cs="Arial"/>
          <w:b/>
          <w:sz w:val="21"/>
          <w:szCs w:val="21"/>
        </w:rPr>
        <w:t>en</w:t>
      </w:r>
      <w:r w:rsidRPr="00114C49">
        <w:rPr>
          <w:rFonts w:ascii="Arial" w:hAnsi="Arial" w:cs="Arial"/>
          <w:b/>
          <w:sz w:val="21"/>
          <w:szCs w:val="21"/>
        </w:rPr>
        <w:t xml:space="preserve"> Medicina </w:t>
      </w:r>
      <w:r w:rsidR="00E14B6B" w:rsidRPr="00114C49">
        <w:rPr>
          <w:rFonts w:ascii="Arial" w:hAnsi="Arial" w:cs="Arial"/>
          <w:b/>
          <w:sz w:val="21"/>
          <w:szCs w:val="21"/>
        </w:rPr>
        <w:t xml:space="preserve">en </w:t>
      </w:r>
      <w:r w:rsidRPr="00114C49">
        <w:rPr>
          <w:rFonts w:ascii="Arial" w:hAnsi="Arial" w:cs="Arial"/>
          <w:b/>
          <w:sz w:val="21"/>
          <w:szCs w:val="21"/>
        </w:rPr>
        <w:t>2019</w:t>
      </w:r>
      <w:r w:rsidR="006478B0" w:rsidRPr="00114C49">
        <w:rPr>
          <w:rFonts w:ascii="Arial" w:eastAsia="Times New Roman" w:hAnsi="Arial" w:cs="Arial"/>
          <w:sz w:val="21"/>
          <w:szCs w:val="21"/>
          <w:vertAlign w:val="superscript"/>
          <w:lang w:val="es-ES" w:eastAsia="en-GB"/>
        </w:rPr>
        <w:t>1</w:t>
      </w:r>
      <w:r w:rsidRPr="00114C49">
        <w:rPr>
          <w:rFonts w:ascii="Arial" w:hAnsi="Arial" w:cs="Arial"/>
          <w:b/>
          <w:sz w:val="21"/>
          <w:szCs w:val="21"/>
        </w:rPr>
        <w:t>.</w:t>
      </w:r>
      <w:r w:rsidRPr="00114C49">
        <w:rPr>
          <w:rFonts w:ascii="Arial" w:hAnsi="Arial" w:cs="Arial"/>
          <w:b/>
          <w:sz w:val="21"/>
          <w:szCs w:val="21"/>
        </w:rPr>
        <w:br/>
      </w:r>
    </w:p>
    <w:p w14:paraId="1E1C979C" w14:textId="51D42987" w:rsidR="000E383C" w:rsidRPr="00114C49" w:rsidRDefault="000E383C" w:rsidP="004E390B">
      <w:pPr>
        <w:pStyle w:val="Prrafodelista"/>
        <w:numPr>
          <w:ilvl w:val="0"/>
          <w:numId w:val="6"/>
        </w:numPr>
        <w:spacing w:before="100" w:beforeAutospacing="1" w:after="100" w:afterAutospacing="1" w:line="240" w:lineRule="auto"/>
        <w:rPr>
          <w:rFonts w:ascii="Arial" w:hAnsi="Arial" w:cs="Arial"/>
          <w:b/>
          <w:sz w:val="21"/>
          <w:szCs w:val="21"/>
        </w:rPr>
      </w:pPr>
      <w:r w:rsidRPr="00114C49">
        <w:rPr>
          <w:rFonts w:ascii="Arial" w:hAnsi="Arial" w:cs="Arial"/>
          <w:b/>
          <w:sz w:val="21"/>
          <w:szCs w:val="21"/>
        </w:rPr>
        <w:t xml:space="preserve">Ofrece una </w:t>
      </w:r>
      <w:r w:rsidR="00703B52">
        <w:rPr>
          <w:rFonts w:ascii="Arial" w:hAnsi="Arial" w:cs="Arial"/>
          <w:b/>
          <w:sz w:val="21"/>
          <w:szCs w:val="21"/>
        </w:rPr>
        <w:t>suspensión</w:t>
      </w:r>
      <w:r w:rsidRPr="00114C49">
        <w:rPr>
          <w:rFonts w:ascii="Arial" w:hAnsi="Arial" w:cs="Arial"/>
          <w:b/>
          <w:sz w:val="21"/>
          <w:szCs w:val="21"/>
        </w:rPr>
        <w:t xml:space="preserve"> oral </w:t>
      </w:r>
      <w:r w:rsidR="004931F3" w:rsidRPr="00114C49">
        <w:rPr>
          <w:rFonts w:ascii="Arial" w:hAnsi="Arial" w:cs="Arial"/>
          <w:b/>
          <w:sz w:val="21"/>
          <w:szCs w:val="21"/>
        </w:rPr>
        <w:t>con perfil de seguridad y eficacia comprobado</w:t>
      </w:r>
      <w:r w:rsidRPr="00114C49">
        <w:rPr>
          <w:rFonts w:ascii="Arial" w:hAnsi="Arial" w:cs="Arial"/>
          <w:b/>
          <w:sz w:val="21"/>
          <w:szCs w:val="21"/>
        </w:rPr>
        <w:t xml:space="preserve"> y de administra</w:t>
      </w:r>
      <w:r w:rsidR="00703B52">
        <w:rPr>
          <w:rFonts w:ascii="Arial" w:hAnsi="Arial" w:cs="Arial"/>
          <w:b/>
          <w:sz w:val="21"/>
          <w:szCs w:val="21"/>
        </w:rPr>
        <w:t>ción</w:t>
      </w:r>
      <w:r w:rsidRPr="00114C49">
        <w:rPr>
          <w:rFonts w:ascii="Arial" w:hAnsi="Arial" w:cs="Arial"/>
          <w:b/>
          <w:sz w:val="21"/>
          <w:szCs w:val="21"/>
        </w:rPr>
        <w:t xml:space="preserve"> en casa.</w:t>
      </w:r>
    </w:p>
    <w:p w14:paraId="43016C3E" w14:textId="540F29C6" w:rsidR="000E383C" w:rsidRPr="00114C49" w:rsidRDefault="00C94DAB"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hAnsi="Arial" w:cs="Arial"/>
          <w:b/>
          <w:sz w:val="21"/>
          <w:szCs w:val="21"/>
        </w:rPr>
        <w:t xml:space="preserve">Madrid, </w:t>
      </w:r>
      <w:r w:rsidR="000E383C" w:rsidRPr="00114C49">
        <w:rPr>
          <w:rFonts w:ascii="Arial" w:hAnsi="Arial" w:cs="Arial"/>
          <w:b/>
          <w:sz w:val="21"/>
          <w:szCs w:val="21"/>
        </w:rPr>
        <w:t>mayo de 2026</w:t>
      </w:r>
      <w:r w:rsidRPr="00114C49">
        <w:rPr>
          <w:rFonts w:ascii="Arial" w:hAnsi="Arial" w:cs="Arial"/>
          <w:b/>
          <w:sz w:val="21"/>
          <w:szCs w:val="21"/>
        </w:rPr>
        <w:t>. –</w:t>
      </w:r>
      <w:r w:rsidR="00E04B17" w:rsidRPr="00114C49">
        <w:rPr>
          <w:rFonts w:ascii="Arial" w:hAnsi="Arial" w:cs="Arial"/>
          <w:sz w:val="21"/>
          <w:szCs w:val="21"/>
        </w:rPr>
        <w:t xml:space="preserve"> </w:t>
      </w:r>
      <w:r w:rsidR="000E383C" w:rsidRPr="00114C49">
        <w:rPr>
          <w:rFonts w:ascii="Arial" w:eastAsia="Times New Roman" w:hAnsi="Arial" w:cs="Arial"/>
          <w:sz w:val="21"/>
          <w:szCs w:val="21"/>
          <w:lang w:val="es-ES" w:eastAsia="en-GB"/>
        </w:rPr>
        <w:t xml:space="preserve">Elanco Animal Health anuncia el lanzamiento en España de </w:t>
      </w:r>
      <w:proofErr w:type="spellStart"/>
      <w:r w:rsidR="000E383C" w:rsidRPr="00114C49">
        <w:rPr>
          <w:rFonts w:ascii="Arial" w:eastAsia="Times New Roman" w:hAnsi="Arial" w:cs="Arial"/>
          <w:sz w:val="21"/>
          <w:szCs w:val="21"/>
          <w:lang w:val="es-ES" w:eastAsia="en-GB"/>
        </w:rPr>
        <w:t>Varenzin</w:t>
      </w:r>
      <w:proofErr w:type="spellEnd"/>
      <w:r w:rsidR="000E383C" w:rsidRPr="00114C49">
        <w:rPr>
          <w:rFonts w:ascii="Arial" w:eastAsia="Times New Roman" w:hAnsi="Arial" w:cs="Arial"/>
          <w:sz w:val="21"/>
          <w:szCs w:val="21"/>
          <w:vertAlign w:val="superscript"/>
          <w:lang w:val="es-ES" w:eastAsia="en-GB"/>
        </w:rPr>
        <w:t>®</w:t>
      </w:r>
      <w:r w:rsidR="000E383C" w:rsidRPr="00114C49">
        <w:rPr>
          <w:rFonts w:ascii="Arial" w:eastAsia="Times New Roman" w:hAnsi="Arial" w:cs="Arial"/>
          <w:sz w:val="21"/>
          <w:szCs w:val="21"/>
          <w:lang w:val="es-ES" w:eastAsia="en-GB"/>
        </w:rPr>
        <w:t xml:space="preserve">, una innovadora </w:t>
      </w:r>
      <w:r w:rsidR="00AF341D">
        <w:rPr>
          <w:rFonts w:ascii="Arial" w:eastAsia="Times New Roman" w:hAnsi="Arial" w:cs="Arial"/>
          <w:sz w:val="21"/>
          <w:szCs w:val="21"/>
          <w:lang w:val="es-ES" w:eastAsia="en-GB"/>
        </w:rPr>
        <w:t>suspensión</w:t>
      </w:r>
      <w:r w:rsidR="000E383C" w:rsidRPr="00114C49">
        <w:rPr>
          <w:rFonts w:ascii="Arial" w:eastAsia="Times New Roman" w:hAnsi="Arial" w:cs="Arial"/>
          <w:sz w:val="21"/>
          <w:szCs w:val="21"/>
          <w:lang w:val="es-ES" w:eastAsia="en-GB"/>
        </w:rPr>
        <w:t xml:space="preserve"> oral indicada para el manejo de la anemia no regenerativa asociada a enfermedad renal crónica (ERC) en gatos. Se trata del primer y único medicamento registrado específicamente para esta indicación, marcando un avance significativo en la medicina felina.</w:t>
      </w:r>
    </w:p>
    <w:p w14:paraId="5B90B92D"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28A26BE7" w14:textId="7C465CE2"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La anemia es una de las complicaciones más frecuentes en gatos con ERC, llegando a afectar hasta al 65% de los pacientes</w:t>
      </w:r>
      <w:r w:rsidR="006478B0" w:rsidRPr="00114C49">
        <w:rPr>
          <w:rFonts w:ascii="Arial" w:eastAsia="Times New Roman" w:hAnsi="Arial" w:cs="Arial"/>
          <w:sz w:val="21"/>
          <w:szCs w:val="21"/>
          <w:vertAlign w:val="superscript"/>
          <w:lang w:val="es-ES" w:eastAsia="en-GB"/>
        </w:rPr>
        <w:t>2</w:t>
      </w:r>
      <w:r w:rsidRPr="00114C49">
        <w:rPr>
          <w:rFonts w:ascii="Arial" w:eastAsia="Times New Roman" w:hAnsi="Arial" w:cs="Arial"/>
          <w:sz w:val="21"/>
          <w:szCs w:val="21"/>
          <w:lang w:val="es-ES" w:eastAsia="en-GB"/>
        </w:rPr>
        <w:t>. Esta condición impacta de forma relevante en la calidad de vida y se asocia con una menor supervivencia</w:t>
      </w:r>
      <w:r w:rsidR="006478B0" w:rsidRPr="00114C49">
        <w:rPr>
          <w:rFonts w:ascii="Arial" w:eastAsia="Times New Roman" w:hAnsi="Arial" w:cs="Arial"/>
          <w:sz w:val="21"/>
          <w:szCs w:val="21"/>
          <w:vertAlign w:val="superscript"/>
          <w:lang w:val="es-ES" w:eastAsia="en-GB"/>
        </w:rPr>
        <w:t>3</w:t>
      </w:r>
      <w:r w:rsidR="009B1A6C" w:rsidRPr="00114C49">
        <w:rPr>
          <w:rFonts w:ascii="Arial" w:eastAsia="Times New Roman" w:hAnsi="Arial" w:cs="Arial"/>
          <w:sz w:val="21"/>
          <w:szCs w:val="21"/>
          <w:lang w:val="es-ES" w:eastAsia="en-GB"/>
        </w:rPr>
        <w:t xml:space="preserve">. Sin embargo, </w:t>
      </w:r>
      <w:r w:rsidRPr="00114C49">
        <w:rPr>
          <w:rFonts w:ascii="Arial" w:eastAsia="Times New Roman" w:hAnsi="Arial" w:cs="Arial"/>
          <w:sz w:val="21"/>
          <w:szCs w:val="21"/>
          <w:lang w:val="es-ES" w:eastAsia="en-GB"/>
        </w:rPr>
        <w:t xml:space="preserve">históricamente ha estado </w:t>
      </w:r>
      <w:proofErr w:type="spellStart"/>
      <w:r w:rsidRPr="00114C49">
        <w:rPr>
          <w:rFonts w:ascii="Arial" w:eastAsia="Times New Roman" w:hAnsi="Arial" w:cs="Arial"/>
          <w:sz w:val="21"/>
          <w:szCs w:val="21"/>
          <w:lang w:val="es-ES" w:eastAsia="en-GB"/>
        </w:rPr>
        <w:t>infratratada</w:t>
      </w:r>
      <w:proofErr w:type="spellEnd"/>
      <w:r w:rsidRPr="00114C49">
        <w:rPr>
          <w:rFonts w:ascii="Arial" w:eastAsia="Times New Roman" w:hAnsi="Arial" w:cs="Arial"/>
          <w:sz w:val="21"/>
          <w:szCs w:val="21"/>
          <w:lang w:val="es-ES" w:eastAsia="en-GB"/>
        </w:rPr>
        <w:t xml:space="preserve"> debido a las limitadas opciones terapéuticas disponibles.</w:t>
      </w:r>
    </w:p>
    <w:p w14:paraId="7E9CAC73"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7A124D8A" w14:textId="05013EA4" w:rsidR="000E383C" w:rsidRPr="00114C49" w:rsidRDefault="006478B0" w:rsidP="004E390B">
      <w:pPr>
        <w:spacing w:before="100" w:beforeAutospacing="1" w:after="100" w:afterAutospacing="1" w:line="240" w:lineRule="auto"/>
        <w:contextualSpacing/>
        <w:jc w:val="both"/>
        <w:rPr>
          <w:rFonts w:ascii="Arial" w:eastAsia="Times New Roman" w:hAnsi="Arial" w:cs="Arial"/>
          <w:b/>
          <w:sz w:val="21"/>
          <w:szCs w:val="21"/>
          <w:lang w:val="es-ES" w:eastAsia="en-GB"/>
        </w:rPr>
      </w:pPr>
      <w:r w:rsidRPr="00114C49">
        <w:rPr>
          <w:rFonts w:ascii="Arial" w:eastAsia="Times New Roman" w:hAnsi="Arial" w:cs="Arial"/>
          <w:b/>
          <w:sz w:val="21"/>
          <w:szCs w:val="21"/>
          <w:lang w:val="es-ES" w:eastAsia="en-GB"/>
        </w:rPr>
        <w:br/>
      </w:r>
      <w:r w:rsidR="000E383C" w:rsidRPr="00114C49">
        <w:rPr>
          <w:rFonts w:ascii="Arial" w:eastAsia="Times New Roman" w:hAnsi="Arial" w:cs="Arial"/>
          <w:b/>
          <w:sz w:val="21"/>
          <w:szCs w:val="21"/>
          <w:lang w:val="es-ES" w:eastAsia="en-GB"/>
        </w:rPr>
        <w:t>Una innovación basada en ciencia premiada</w:t>
      </w:r>
    </w:p>
    <w:p w14:paraId="2B35920F" w14:textId="7AFDC786"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br/>
      </w:r>
      <w:proofErr w:type="spellStart"/>
      <w:r w:rsidRPr="00114C49">
        <w:rPr>
          <w:rFonts w:ascii="Arial" w:eastAsia="Times New Roman" w:hAnsi="Arial" w:cs="Arial"/>
          <w:sz w:val="21"/>
          <w:szCs w:val="21"/>
          <w:lang w:val="es-ES" w:eastAsia="en-GB"/>
        </w:rPr>
        <w:t>Varenzin</w:t>
      </w:r>
      <w:proofErr w:type="spellEnd"/>
      <w:r w:rsidRPr="00114C49">
        <w:rPr>
          <w:rFonts w:ascii="Arial" w:eastAsia="Times New Roman" w:hAnsi="Arial" w:cs="Arial"/>
          <w:sz w:val="21"/>
          <w:szCs w:val="21"/>
          <w:vertAlign w:val="superscript"/>
          <w:lang w:val="es-ES" w:eastAsia="en-GB"/>
        </w:rPr>
        <w:t>®</w:t>
      </w:r>
      <w:r w:rsidRPr="00114C49">
        <w:rPr>
          <w:rFonts w:ascii="Arial" w:eastAsia="Times New Roman" w:hAnsi="Arial" w:cs="Arial"/>
          <w:sz w:val="21"/>
          <w:szCs w:val="21"/>
          <w:lang w:val="es-ES" w:eastAsia="en-GB"/>
        </w:rPr>
        <w:t xml:space="preserve"> incorpora </w:t>
      </w:r>
      <w:proofErr w:type="spellStart"/>
      <w:r w:rsidRPr="00114C49">
        <w:rPr>
          <w:rFonts w:ascii="Arial" w:eastAsia="Times New Roman" w:hAnsi="Arial" w:cs="Arial"/>
          <w:sz w:val="21"/>
          <w:szCs w:val="21"/>
          <w:lang w:val="es-ES" w:eastAsia="en-GB"/>
        </w:rPr>
        <w:t>molidustat</w:t>
      </w:r>
      <w:proofErr w:type="spellEnd"/>
      <w:r w:rsidRPr="00114C49">
        <w:rPr>
          <w:rFonts w:ascii="Arial" w:eastAsia="Times New Roman" w:hAnsi="Arial" w:cs="Arial"/>
          <w:sz w:val="21"/>
          <w:szCs w:val="21"/>
          <w:lang w:val="es-ES" w:eastAsia="en-GB"/>
        </w:rPr>
        <w:t xml:space="preserve"> como principio activo, un inhibidor de la </w:t>
      </w:r>
      <w:proofErr w:type="spellStart"/>
      <w:r w:rsidRPr="00114C49">
        <w:rPr>
          <w:rFonts w:ascii="Arial" w:eastAsia="Times New Roman" w:hAnsi="Arial" w:cs="Arial"/>
          <w:sz w:val="21"/>
          <w:szCs w:val="21"/>
          <w:lang w:val="es-ES" w:eastAsia="en-GB"/>
        </w:rPr>
        <w:t>prolil</w:t>
      </w:r>
      <w:proofErr w:type="spellEnd"/>
      <w:r w:rsidRPr="00114C49">
        <w:rPr>
          <w:rFonts w:ascii="Arial" w:eastAsia="Times New Roman" w:hAnsi="Arial" w:cs="Arial"/>
          <w:sz w:val="21"/>
          <w:szCs w:val="21"/>
          <w:lang w:val="es-ES" w:eastAsia="en-GB"/>
        </w:rPr>
        <w:t xml:space="preserve"> hidroxilasa de los factores inducibles por hipoxia (HIF-PH). Este mecanismo de acción, reconocido con el Premio Nobel de Medicina 2019</w:t>
      </w:r>
      <w:r w:rsidR="006478B0" w:rsidRPr="00114C49">
        <w:rPr>
          <w:rFonts w:ascii="Arial" w:eastAsia="Times New Roman" w:hAnsi="Arial" w:cs="Arial"/>
          <w:sz w:val="21"/>
          <w:szCs w:val="21"/>
          <w:vertAlign w:val="superscript"/>
          <w:lang w:val="es-ES" w:eastAsia="en-GB"/>
        </w:rPr>
        <w:t>1</w:t>
      </w:r>
      <w:r w:rsidRPr="00114C49">
        <w:rPr>
          <w:rFonts w:ascii="Arial" w:eastAsia="Times New Roman" w:hAnsi="Arial" w:cs="Arial"/>
          <w:sz w:val="21"/>
          <w:szCs w:val="21"/>
          <w:lang w:val="es-ES" w:eastAsia="en-GB"/>
        </w:rPr>
        <w:t>, permite estimular la producción endógena de eritropoyetina (EPO)</w:t>
      </w:r>
      <w:r w:rsidR="004E390B" w:rsidRPr="00114C49">
        <w:rPr>
          <w:rFonts w:ascii="Arial" w:eastAsia="Times New Roman" w:hAnsi="Arial" w:cs="Arial"/>
          <w:sz w:val="21"/>
          <w:szCs w:val="21"/>
          <w:vertAlign w:val="superscript"/>
          <w:lang w:val="es-ES" w:eastAsia="en-GB"/>
        </w:rPr>
        <w:t>4</w:t>
      </w:r>
      <w:r w:rsidRPr="00114C49">
        <w:rPr>
          <w:rFonts w:ascii="Arial" w:eastAsia="Times New Roman" w:hAnsi="Arial" w:cs="Arial"/>
          <w:sz w:val="21"/>
          <w:szCs w:val="21"/>
          <w:lang w:val="es-ES" w:eastAsia="en-GB"/>
        </w:rPr>
        <w:t>.</w:t>
      </w:r>
    </w:p>
    <w:p w14:paraId="413104B8"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Como resultado, se incrementa la producción de glóbulos rojos y mejora la biodisponibilidad de oxígeno en el organismo, abordando de forma fisiológica la anemia asociada a la ERC.</w:t>
      </w:r>
    </w:p>
    <w:p w14:paraId="458A3523"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6AFEAC19"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b/>
          <w:sz w:val="21"/>
          <w:szCs w:val="21"/>
          <w:lang w:val="es-ES" w:eastAsia="en-GB"/>
        </w:rPr>
      </w:pPr>
    </w:p>
    <w:p w14:paraId="108ED453" w14:textId="62A5B5EE" w:rsidR="000E383C" w:rsidRPr="00114C49" w:rsidRDefault="005A3971" w:rsidP="004E390B">
      <w:pPr>
        <w:spacing w:before="100" w:beforeAutospacing="1" w:after="100" w:afterAutospacing="1" w:line="240" w:lineRule="auto"/>
        <w:contextualSpacing/>
        <w:jc w:val="both"/>
        <w:rPr>
          <w:rFonts w:ascii="Arial" w:eastAsia="Times New Roman" w:hAnsi="Arial" w:cs="Arial"/>
          <w:b/>
          <w:sz w:val="21"/>
          <w:szCs w:val="21"/>
          <w:lang w:val="es-ES" w:eastAsia="en-GB"/>
        </w:rPr>
      </w:pPr>
      <w:r>
        <w:rPr>
          <w:rFonts w:ascii="Arial" w:eastAsia="Times New Roman" w:hAnsi="Arial" w:cs="Arial"/>
          <w:b/>
          <w:sz w:val="21"/>
          <w:szCs w:val="21"/>
          <w:lang w:val="es-ES" w:eastAsia="en-GB"/>
        </w:rPr>
        <w:t>Perfiles de e</w:t>
      </w:r>
      <w:r w:rsidR="000E383C" w:rsidRPr="00114C49">
        <w:rPr>
          <w:rFonts w:ascii="Arial" w:eastAsia="Times New Roman" w:hAnsi="Arial" w:cs="Arial"/>
          <w:b/>
          <w:sz w:val="21"/>
          <w:szCs w:val="21"/>
          <w:lang w:val="es-ES" w:eastAsia="en-GB"/>
        </w:rPr>
        <w:t xml:space="preserve">ficacia y seguridad </w:t>
      </w:r>
      <w:r>
        <w:rPr>
          <w:rFonts w:ascii="Arial" w:eastAsia="Times New Roman" w:hAnsi="Arial" w:cs="Arial"/>
          <w:b/>
          <w:sz w:val="21"/>
          <w:szCs w:val="21"/>
          <w:lang w:val="es-ES" w:eastAsia="en-GB"/>
        </w:rPr>
        <w:t>comprobados</w:t>
      </w:r>
    </w:p>
    <w:p w14:paraId="10FAD667" w14:textId="77777777" w:rsidR="004C3C11"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br/>
        <w:t xml:space="preserve">La eficacia de </w:t>
      </w:r>
      <w:proofErr w:type="spellStart"/>
      <w:r w:rsidRPr="00114C49">
        <w:rPr>
          <w:rFonts w:ascii="Arial" w:eastAsia="Times New Roman" w:hAnsi="Arial" w:cs="Arial"/>
          <w:sz w:val="21"/>
          <w:szCs w:val="21"/>
          <w:lang w:val="es-ES" w:eastAsia="en-GB"/>
        </w:rPr>
        <w:t>Varenzin</w:t>
      </w:r>
      <w:proofErr w:type="spellEnd"/>
      <w:r w:rsidRPr="00114C49">
        <w:rPr>
          <w:rFonts w:ascii="Arial" w:eastAsia="Times New Roman" w:hAnsi="Arial" w:cs="Arial"/>
          <w:sz w:val="21"/>
          <w:szCs w:val="21"/>
          <w:vertAlign w:val="superscript"/>
          <w:lang w:val="es-ES" w:eastAsia="en-GB"/>
        </w:rPr>
        <w:t>®</w:t>
      </w:r>
      <w:r w:rsidRPr="00114C49">
        <w:rPr>
          <w:rFonts w:ascii="Arial" w:eastAsia="Times New Roman" w:hAnsi="Arial" w:cs="Arial"/>
          <w:sz w:val="21"/>
          <w:szCs w:val="21"/>
          <w:lang w:val="es-ES" w:eastAsia="en-GB"/>
        </w:rPr>
        <w:t xml:space="preserve"> ha sido respaldada por estudios clínicos multicéntricos. </w:t>
      </w:r>
    </w:p>
    <w:p w14:paraId="52742096" w14:textId="5604CB5F"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 xml:space="preserve">En un estudio de campo con 75 gatos con anemia por ERC, el tratamiento con </w:t>
      </w:r>
      <w:proofErr w:type="spellStart"/>
      <w:r w:rsidRPr="00114C49">
        <w:rPr>
          <w:rFonts w:ascii="Arial" w:eastAsia="Times New Roman" w:hAnsi="Arial" w:cs="Arial"/>
          <w:sz w:val="21"/>
          <w:szCs w:val="21"/>
          <w:lang w:val="es-ES" w:eastAsia="en-GB"/>
        </w:rPr>
        <w:t>molidustat</w:t>
      </w:r>
      <w:proofErr w:type="spellEnd"/>
      <w:r w:rsidRPr="00114C49">
        <w:rPr>
          <w:rFonts w:ascii="Arial" w:eastAsia="Times New Roman" w:hAnsi="Arial" w:cs="Arial"/>
          <w:sz w:val="21"/>
          <w:szCs w:val="21"/>
          <w:lang w:val="es-ES" w:eastAsia="en-GB"/>
        </w:rPr>
        <w:t xml:space="preserve"> logró:</w:t>
      </w:r>
    </w:p>
    <w:p w14:paraId="4C12E951" w14:textId="178A8CEA" w:rsidR="000E383C" w:rsidRPr="00114C49" w:rsidRDefault="000E383C" w:rsidP="004E390B">
      <w:pPr>
        <w:pStyle w:val="Prrafodelista"/>
        <w:numPr>
          <w:ilvl w:val="0"/>
          <w:numId w:val="7"/>
        </w:numPr>
        <w:spacing w:before="100" w:beforeAutospacing="1" w:after="100" w:afterAutospacing="1" w:line="240" w:lineRule="auto"/>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Un aumento medio del hematocrito del 5,5% frente al grupo control</w:t>
      </w:r>
      <w:r w:rsidR="005956C3" w:rsidRPr="00114C49">
        <w:rPr>
          <w:rFonts w:ascii="Arial" w:eastAsia="Times New Roman" w:hAnsi="Arial" w:cs="Arial"/>
          <w:sz w:val="21"/>
          <w:szCs w:val="21"/>
          <w:vertAlign w:val="superscript"/>
          <w:lang w:val="es-ES" w:eastAsia="en-GB"/>
        </w:rPr>
        <w:t>6</w:t>
      </w:r>
    </w:p>
    <w:p w14:paraId="0C8DA591" w14:textId="4EC930F9" w:rsidR="000E383C" w:rsidRPr="00114C49" w:rsidRDefault="000E383C" w:rsidP="004E390B">
      <w:pPr>
        <w:pStyle w:val="Prrafodelista"/>
        <w:numPr>
          <w:ilvl w:val="0"/>
          <w:numId w:val="7"/>
        </w:numPr>
        <w:spacing w:before="100" w:beforeAutospacing="1" w:after="100" w:afterAutospacing="1" w:line="240" w:lineRule="auto"/>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Un 68% de éxito terapéutico a los 28 días</w:t>
      </w:r>
      <w:r w:rsidR="00AE4639" w:rsidRPr="00114C49">
        <w:rPr>
          <w:rFonts w:ascii="Arial" w:eastAsia="Times New Roman" w:hAnsi="Arial" w:cs="Arial"/>
          <w:sz w:val="21"/>
          <w:szCs w:val="21"/>
          <w:vertAlign w:val="superscript"/>
          <w:lang w:val="es-ES" w:eastAsia="en-GB"/>
        </w:rPr>
        <w:t>6</w:t>
      </w:r>
    </w:p>
    <w:p w14:paraId="311556B0" w14:textId="4D432006" w:rsidR="000E383C" w:rsidRPr="00A34ACE" w:rsidRDefault="00A34ACE" w:rsidP="00A34ACE">
      <w:pPr>
        <w:spacing w:before="100" w:beforeAutospacing="1" w:after="100" w:afterAutospacing="1" w:line="240" w:lineRule="auto"/>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t>En otro estudio de campo, se observaron, i</w:t>
      </w:r>
      <w:r w:rsidR="000E383C" w:rsidRPr="00A34ACE">
        <w:rPr>
          <w:rFonts w:ascii="Arial" w:eastAsia="Times New Roman" w:hAnsi="Arial" w:cs="Arial"/>
          <w:sz w:val="21"/>
          <w:szCs w:val="21"/>
          <w:lang w:val="es-ES" w:eastAsia="en-GB"/>
        </w:rPr>
        <w:t>ncrementos progresivos del hematocrito desde los 14 días hasta al menos el día 84</w:t>
      </w:r>
      <w:r>
        <w:rPr>
          <w:rFonts w:ascii="Arial" w:eastAsia="Times New Roman" w:hAnsi="Arial" w:cs="Arial"/>
          <w:sz w:val="21"/>
          <w:szCs w:val="21"/>
          <w:lang w:val="es-ES" w:eastAsia="en-GB"/>
        </w:rPr>
        <w:t>.</w:t>
      </w:r>
      <w:r w:rsidR="00B703A0" w:rsidRPr="00A34ACE">
        <w:rPr>
          <w:rFonts w:ascii="Arial" w:eastAsia="Times New Roman" w:hAnsi="Arial" w:cs="Arial"/>
          <w:sz w:val="21"/>
          <w:szCs w:val="21"/>
          <w:vertAlign w:val="superscript"/>
          <w:lang w:val="es-ES" w:eastAsia="en-GB"/>
        </w:rPr>
        <w:t>7</w:t>
      </w:r>
    </w:p>
    <w:p w14:paraId="1AAB5B75" w14:textId="0F65C830"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Estos resultados confirman su perfil de eficacia sostenid</w:t>
      </w:r>
      <w:r w:rsidR="000B15DF">
        <w:rPr>
          <w:rFonts w:ascii="Arial" w:eastAsia="Times New Roman" w:hAnsi="Arial" w:cs="Arial"/>
          <w:sz w:val="21"/>
          <w:szCs w:val="21"/>
          <w:lang w:val="es-ES" w:eastAsia="en-GB"/>
        </w:rPr>
        <w:t>o</w:t>
      </w:r>
      <w:r w:rsidRPr="00114C49">
        <w:rPr>
          <w:rFonts w:ascii="Arial" w:eastAsia="Times New Roman" w:hAnsi="Arial" w:cs="Arial"/>
          <w:sz w:val="21"/>
          <w:szCs w:val="21"/>
          <w:lang w:val="es-ES" w:eastAsia="en-GB"/>
        </w:rPr>
        <w:t>, junto con un</w:t>
      </w:r>
      <w:r w:rsidR="00745C2E">
        <w:rPr>
          <w:rFonts w:ascii="Arial" w:eastAsia="Times New Roman" w:hAnsi="Arial" w:cs="Arial"/>
          <w:sz w:val="21"/>
          <w:szCs w:val="21"/>
          <w:lang w:val="es-ES" w:eastAsia="en-GB"/>
        </w:rPr>
        <w:t xml:space="preserve"> perfil de</w:t>
      </w:r>
      <w:r w:rsidRPr="00114C49">
        <w:rPr>
          <w:rFonts w:ascii="Arial" w:eastAsia="Times New Roman" w:hAnsi="Arial" w:cs="Arial"/>
          <w:sz w:val="21"/>
          <w:szCs w:val="21"/>
          <w:lang w:val="es-ES" w:eastAsia="en-GB"/>
        </w:rPr>
        <w:t xml:space="preserve"> seguridad comprobad</w:t>
      </w:r>
      <w:r w:rsidR="00745C2E">
        <w:rPr>
          <w:rFonts w:ascii="Arial" w:eastAsia="Times New Roman" w:hAnsi="Arial" w:cs="Arial"/>
          <w:sz w:val="21"/>
          <w:szCs w:val="21"/>
          <w:lang w:val="es-ES" w:eastAsia="en-GB"/>
        </w:rPr>
        <w:t>o</w:t>
      </w:r>
      <w:r w:rsidRPr="00114C49">
        <w:rPr>
          <w:rFonts w:ascii="Arial" w:eastAsia="Times New Roman" w:hAnsi="Arial" w:cs="Arial"/>
          <w:sz w:val="21"/>
          <w:szCs w:val="21"/>
          <w:lang w:val="es-ES" w:eastAsia="en-GB"/>
        </w:rPr>
        <w:t xml:space="preserve"> tanto en uso individual como en combinación con otros tratamientos habituales para la ERC.</w:t>
      </w:r>
      <w:r w:rsidR="00974E1D" w:rsidRPr="00114C49">
        <w:rPr>
          <w:rFonts w:ascii="Arial" w:eastAsia="Times New Roman" w:hAnsi="Arial" w:cs="Arial"/>
          <w:sz w:val="21"/>
          <w:szCs w:val="21"/>
          <w:lang w:val="es-ES" w:eastAsia="en-GB"/>
        </w:rPr>
        <w:t>*</w:t>
      </w:r>
    </w:p>
    <w:p w14:paraId="6463EE77" w14:textId="77777777" w:rsidR="00974E1D" w:rsidRPr="00114C49" w:rsidRDefault="00974E1D"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318590BE" w14:textId="1DA0964A" w:rsidR="00974E1D" w:rsidRPr="00114C49" w:rsidRDefault="00974E1D" w:rsidP="004E390B">
      <w:pPr>
        <w:spacing w:before="100" w:beforeAutospacing="1" w:after="100" w:afterAutospacing="1" w:line="240" w:lineRule="auto"/>
        <w:contextualSpacing/>
        <w:jc w:val="both"/>
        <w:rPr>
          <w:rFonts w:ascii="Arial" w:eastAsia="Times New Roman" w:hAnsi="Arial" w:cs="Arial"/>
          <w:sz w:val="18"/>
          <w:szCs w:val="18"/>
          <w:lang w:val="es-ES" w:eastAsia="en-GB"/>
        </w:rPr>
      </w:pPr>
      <w:r w:rsidRPr="00114C49">
        <w:rPr>
          <w:rFonts w:ascii="Arial" w:eastAsia="Times New Roman" w:hAnsi="Arial" w:cs="Arial"/>
          <w:sz w:val="18"/>
          <w:szCs w:val="18"/>
          <w:lang w:val="es-ES" w:eastAsia="en-GB"/>
        </w:rPr>
        <w:lastRenderedPageBreak/>
        <w:t>*</w:t>
      </w:r>
      <w:r w:rsidR="00946634" w:rsidRPr="00114C49">
        <w:rPr>
          <w:rFonts w:ascii="Arial" w:eastAsia="Times New Roman" w:hAnsi="Arial" w:cs="Arial"/>
          <w:sz w:val="18"/>
          <w:szCs w:val="18"/>
          <w:lang w:val="es-ES" w:eastAsia="en-GB"/>
        </w:rPr>
        <w:t>No se ha estudiado en combinación con otros estimulantes de la eritropoyesis</w:t>
      </w:r>
      <w:r w:rsidR="001A09BE" w:rsidRPr="00114C49">
        <w:rPr>
          <w:rFonts w:ascii="Arial" w:eastAsia="Times New Roman" w:hAnsi="Arial" w:cs="Arial"/>
          <w:sz w:val="18"/>
          <w:szCs w:val="18"/>
          <w:lang w:val="es-ES" w:eastAsia="en-GB"/>
        </w:rPr>
        <w:t xml:space="preserve"> como eritropoyetina recombinante.</w:t>
      </w:r>
    </w:p>
    <w:p w14:paraId="2B0DE059" w14:textId="4EBD91B5" w:rsidR="000E383C" w:rsidRPr="00114C49" w:rsidRDefault="000E383C" w:rsidP="004E390B">
      <w:pPr>
        <w:spacing w:line="240" w:lineRule="auto"/>
        <w:rPr>
          <w:rFonts w:ascii="Arial" w:eastAsia="Times New Roman" w:hAnsi="Arial" w:cs="Arial"/>
          <w:b/>
          <w:sz w:val="21"/>
          <w:szCs w:val="21"/>
          <w:lang w:val="es-ES" w:eastAsia="en-GB"/>
        </w:rPr>
      </w:pPr>
    </w:p>
    <w:p w14:paraId="3AE04FDA" w14:textId="337EFE90" w:rsidR="000E383C" w:rsidRPr="00114C49" w:rsidRDefault="00D752E9" w:rsidP="004E390B">
      <w:pPr>
        <w:spacing w:before="100" w:beforeAutospacing="1" w:after="100" w:afterAutospacing="1" w:line="240" w:lineRule="auto"/>
        <w:contextualSpacing/>
        <w:jc w:val="both"/>
        <w:rPr>
          <w:rFonts w:ascii="Arial" w:eastAsia="Times New Roman" w:hAnsi="Arial" w:cs="Arial"/>
          <w:b/>
          <w:sz w:val="21"/>
          <w:szCs w:val="21"/>
          <w:lang w:val="es-ES" w:eastAsia="en-GB"/>
        </w:rPr>
      </w:pPr>
      <w:r>
        <w:rPr>
          <w:rFonts w:ascii="Arial" w:eastAsia="Times New Roman" w:hAnsi="Arial" w:cs="Arial"/>
          <w:b/>
          <w:sz w:val="21"/>
          <w:szCs w:val="21"/>
          <w:lang w:val="es-ES" w:eastAsia="en-GB"/>
        </w:rPr>
        <w:t>Uso práctico</w:t>
      </w:r>
      <w:r w:rsidR="000E383C" w:rsidRPr="00114C49">
        <w:rPr>
          <w:rFonts w:ascii="Arial" w:eastAsia="Times New Roman" w:hAnsi="Arial" w:cs="Arial"/>
          <w:b/>
          <w:sz w:val="21"/>
          <w:szCs w:val="21"/>
          <w:lang w:val="es-ES" w:eastAsia="en-GB"/>
        </w:rPr>
        <w:t xml:space="preserve"> y adaptación al paciente felino</w:t>
      </w:r>
    </w:p>
    <w:p w14:paraId="035AB461"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4A642873" w14:textId="005DF7CB"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roofErr w:type="spellStart"/>
      <w:r w:rsidRPr="00114C49">
        <w:rPr>
          <w:rFonts w:ascii="Arial" w:eastAsia="Times New Roman" w:hAnsi="Arial" w:cs="Arial"/>
          <w:sz w:val="21"/>
          <w:szCs w:val="21"/>
          <w:lang w:val="es-ES" w:eastAsia="en-GB"/>
        </w:rPr>
        <w:t>Varenzin</w:t>
      </w:r>
      <w:proofErr w:type="spellEnd"/>
      <w:r w:rsidRPr="00114C49">
        <w:rPr>
          <w:rFonts w:ascii="Arial" w:eastAsia="Times New Roman" w:hAnsi="Arial" w:cs="Arial"/>
          <w:sz w:val="21"/>
          <w:szCs w:val="21"/>
          <w:vertAlign w:val="superscript"/>
          <w:lang w:val="es-ES" w:eastAsia="en-GB"/>
        </w:rPr>
        <w:t>®</w:t>
      </w:r>
      <w:r w:rsidRPr="00114C49">
        <w:rPr>
          <w:rFonts w:ascii="Arial" w:eastAsia="Times New Roman" w:hAnsi="Arial" w:cs="Arial"/>
          <w:sz w:val="21"/>
          <w:szCs w:val="21"/>
          <w:lang w:val="es-ES" w:eastAsia="en-GB"/>
        </w:rPr>
        <w:t xml:space="preserve"> ha sido diseñado específicamente para gatos, ofreciendo una administración sencilla y adaptada a sus necesidades:</w:t>
      </w:r>
    </w:p>
    <w:p w14:paraId="7F709DD6" w14:textId="77777777" w:rsidR="000E383C" w:rsidRPr="00114C49" w:rsidRDefault="000E383C" w:rsidP="004E390B">
      <w:pPr>
        <w:pStyle w:val="Prrafodelista"/>
        <w:numPr>
          <w:ilvl w:val="0"/>
          <w:numId w:val="8"/>
        </w:numPr>
        <w:spacing w:before="100" w:beforeAutospacing="1" w:after="100" w:afterAutospacing="1" w:line="240" w:lineRule="auto"/>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Suspensión oral de administración una vez al día</w:t>
      </w:r>
    </w:p>
    <w:p w14:paraId="1F9B65CB" w14:textId="332EBAD7" w:rsidR="00A5544E" w:rsidRPr="00114C49" w:rsidRDefault="000E383C" w:rsidP="004E390B">
      <w:pPr>
        <w:pStyle w:val="Prrafodelista"/>
        <w:numPr>
          <w:ilvl w:val="0"/>
          <w:numId w:val="8"/>
        </w:numPr>
        <w:spacing w:before="100" w:beforeAutospacing="1" w:after="100" w:afterAutospacing="1" w:line="240" w:lineRule="auto"/>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Formulación con aceite de pescado, con una tasa de aceptación voluntaria del 88%</w:t>
      </w:r>
      <w:r w:rsidR="004D1E15" w:rsidRPr="00114C49">
        <w:rPr>
          <w:rFonts w:ascii="Arial" w:eastAsia="Times New Roman" w:hAnsi="Arial" w:cs="Arial"/>
          <w:sz w:val="21"/>
          <w:szCs w:val="21"/>
          <w:lang w:val="es-ES" w:eastAsia="en-GB"/>
        </w:rPr>
        <w:t>*</w:t>
      </w:r>
      <w:r w:rsidR="005956C3" w:rsidRPr="00114C49">
        <w:rPr>
          <w:rFonts w:ascii="Arial" w:eastAsia="Times New Roman" w:hAnsi="Arial" w:cs="Arial"/>
          <w:sz w:val="21"/>
          <w:szCs w:val="21"/>
          <w:vertAlign w:val="superscript"/>
          <w:lang w:val="es-ES" w:eastAsia="en-GB"/>
        </w:rPr>
        <w:t>5</w:t>
      </w:r>
    </w:p>
    <w:p w14:paraId="035331AE" w14:textId="279CEB93" w:rsidR="000E383C" w:rsidRPr="00114C49" w:rsidRDefault="000E383C" w:rsidP="004E390B">
      <w:pPr>
        <w:pStyle w:val="Prrafodelista"/>
        <w:numPr>
          <w:ilvl w:val="0"/>
          <w:numId w:val="8"/>
        </w:numPr>
        <w:spacing w:before="100" w:beforeAutospacing="1" w:after="100" w:afterAutospacing="1" w:line="240" w:lineRule="auto"/>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Tratamiento en casa, evitando inyecciones o terapias fuera de registro</w:t>
      </w:r>
    </w:p>
    <w:p w14:paraId="29A5902B" w14:textId="1DB32EBA"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 xml:space="preserve">Este enfoque facilita el manejo clínico por parte del veterinario y mejora </w:t>
      </w:r>
      <w:r w:rsidR="00A5544E" w:rsidRPr="00114C49">
        <w:rPr>
          <w:rFonts w:ascii="Arial" w:eastAsia="Times New Roman" w:hAnsi="Arial" w:cs="Arial"/>
          <w:sz w:val="21"/>
          <w:szCs w:val="21"/>
          <w:lang w:val="es-ES" w:eastAsia="en-GB"/>
        </w:rPr>
        <w:t>el cumplimiento del</w:t>
      </w:r>
      <w:r w:rsidRPr="00114C49">
        <w:rPr>
          <w:rFonts w:ascii="Arial" w:eastAsia="Times New Roman" w:hAnsi="Arial" w:cs="Arial"/>
          <w:sz w:val="21"/>
          <w:szCs w:val="21"/>
          <w:lang w:val="es-ES" w:eastAsia="en-GB"/>
        </w:rPr>
        <w:t xml:space="preserve"> tratamiento por parte de los tutores.</w:t>
      </w:r>
    </w:p>
    <w:p w14:paraId="13D670EC"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7E144DEA"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b/>
          <w:sz w:val="21"/>
          <w:szCs w:val="21"/>
          <w:lang w:val="es-ES" w:eastAsia="en-GB"/>
        </w:rPr>
      </w:pPr>
    </w:p>
    <w:p w14:paraId="4F987EB0"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b/>
          <w:sz w:val="21"/>
          <w:szCs w:val="21"/>
          <w:lang w:val="es-ES" w:eastAsia="en-GB"/>
        </w:rPr>
      </w:pPr>
      <w:r w:rsidRPr="00114C49">
        <w:rPr>
          <w:rFonts w:ascii="Arial" w:eastAsia="Times New Roman" w:hAnsi="Arial" w:cs="Arial"/>
          <w:b/>
          <w:sz w:val="21"/>
          <w:szCs w:val="21"/>
          <w:lang w:val="es-ES" w:eastAsia="en-GB"/>
        </w:rPr>
        <w:t>Un nuevo estándar en medicina felina</w:t>
      </w:r>
    </w:p>
    <w:p w14:paraId="6BFDFA9F"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28411834" w14:textId="77777777" w:rsidR="000E383C"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Con este lanzamiento, Elanco refuerza su compromiso con el desarrollo de soluciones innovadoras adaptadas a la medicina felina, un área con necesidades clínicas específicas y en constante evolución.</w:t>
      </w:r>
    </w:p>
    <w:p w14:paraId="06F71A27"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22AC3C5B" w14:textId="5ECB99CF"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i/>
          <w:sz w:val="21"/>
          <w:szCs w:val="21"/>
          <w:lang w:val="es-ES" w:eastAsia="en-GB"/>
        </w:rPr>
        <w:t>“</w:t>
      </w:r>
      <w:proofErr w:type="spellStart"/>
      <w:r w:rsidRPr="00114C49">
        <w:rPr>
          <w:rFonts w:ascii="Arial" w:eastAsia="Times New Roman" w:hAnsi="Arial" w:cs="Arial"/>
          <w:i/>
          <w:sz w:val="21"/>
          <w:szCs w:val="21"/>
          <w:lang w:val="es-ES" w:eastAsia="en-GB"/>
        </w:rPr>
        <w:t>Varenzin</w:t>
      </w:r>
      <w:proofErr w:type="spellEnd"/>
      <w:r w:rsidRPr="00114C49">
        <w:rPr>
          <w:rFonts w:ascii="Arial" w:eastAsia="Times New Roman" w:hAnsi="Arial" w:cs="Arial"/>
          <w:i/>
          <w:sz w:val="21"/>
          <w:szCs w:val="21"/>
          <w:vertAlign w:val="superscript"/>
          <w:lang w:val="es-ES" w:eastAsia="en-GB"/>
        </w:rPr>
        <w:t>®</w:t>
      </w:r>
      <w:r w:rsidRPr="00114C49">
        <w:rPr>
          <w:rFonts w:ascii="Arial" w:eastAsia="Times New Roman" w:hAnsi="Arial" w:cs="Arial"/>
          <w:i/>
          <w:sz w:val="21"/>
          <w:szCs w:val="21"/>
          <w:lang w:val="es-ES" w:eastAsia="en-GB"/>
        </w:rPr>
        <w:t xml:space="preserve"> representa un avance muy relevante en un área donde existía una clara necesidad no cubierta. Con este lanzamiento ponemos a disposición de los veterinarios una solución específica, </w:t>
      </w:r>
      <w:r w:rsidR="00D752E9">
        <w:rPr>
          <w:rFonts w:ascii="Arial" w:eastAsia="Times New Roman" w:hAnsi="Arial" w:cs="Arial"/>
          <w:i/>
          <w:sz w:val="21"/>
          <w:szCs w:val="21"/>
          <w:lang w:val="es-ES" w:eastAsia="en-GB"/>
        </w:rPr>
        <w:t>con una eficacia demostrada en ensayos clínicos</w:t>
      </w:r>
      <w:r w:rsidRPr="00114C49">
        <w:rPr>
          <w:rFonts w:ascii="Arial" w:eastAsia="Times New Roman" w:hAnsi="Arial" w:cs="Arial"/>
          <w:i/>
          <w:sz w:val="21"/>
          <w:szCs w:val="21"/>
          <w:lang w:val="es-ES" w:eastAsia="en-GB"/>
        </w:rPr>
        <w:t xml:space="preserve"> y </w:t>
      </w:r>
      <w:r w:rsidR="00DF4468">
        <w:rPr>
          <w:rFonts w:ascii="Arial" w:eastAsia="Times New Roman" w:hAnsi="Arial" w:cs="Arial"/>
          <w:i/>
          <w:sz w:val="21"/>
          <w:szCs w:val="21"/>
          <w:lang w:val="es-ES" w:eastAsia="en-GB"/>
        </w:rPr>
        <w:t>práctica</w:t>
      </w:r>
      <w:r w:rsidRPr="00114C49">
        <w:rPr>
          <w:rFonts w:ascii="Arial" w:eastAsia="Times New Roman" w:hAnsi="Arial" w:cs="Arial"/>
          <w:i/>
          <w:sz w:val="21"/>
          <w:szCs w:val="21"/>
          <w:lang w:val="es-ES" w:eastAsia="en-GB"/>
        </w:rPr>
        <w:t xml:space="preserve"> de administrar, que puede contribuir a mejorar la calidad de vida de los gatos con</w:t>
      </w:r>
      <w:r w:rsidR="008B6FD7" w:rsidRPr="00114C49">
        <w:rPr>
          <w:rFonts w:ascii="Arial" w:eastAsia="Times New Roman" w:hAnsi="Arial" w:cs="Arial"/>
          <w:i/>
          <w:sz w:val="21"/>
          <w:szCs w:val="21"/>
          <w:lang w:val="es-ES" w:eastAsia="en-GB"/>
        </w:rPr>
        <w:t xml:space="preserve"> anemia</w:t>
      </w:r>
      <w:r w:rsidR="00A9507F" w:rsidRPr="00114C49">
        <w:rPr>
          <w:rFonts w:ascii="Arial" w:eastAsia="Times New Roman" w:hAnsi="Arial" w:cs="Arial"/>
          <w:i/>
          <w:sz w:val="21"/>
          <w:szCs w:val="21"/>
          <w:lang w:val="es-ES" w:eastAsia="en-GB"/>
        </w:rPr>
        <w:t xml:space="preserve"> no regenerativa</w:t>
      </w:r>
      <w:r w:rsidR="008B6FD7" w:rsidRPr="00114C49">
        <w:rPr>
          <w:rFonts w:ascii="Arial" w:eastAsia="Times New Roman" w:hAnsi="Arial" w:cs="Arial"/>
          <w:i/>
          <w:sz w:val="21"/>
          <w:szCs w:val="21"/>
          <w:lang w:val="es-ES" w:eastAsia="en-GB"/>
        </w:rPr>
        <w:t xml:space="preserve"> asociada a</w:t>
      </w:r>
      <w:r w:rsidR="00A9507F" w:rsidRPr="00114C49">
        <w:rPr>
          <w:rFonts w:ascii="Arial" w:eastAsia="Times New Roman" w:hAnsi="Arial" w:cs="Arial"/>
          <w:i/>
          <w:sz w:val="21"/>
          <w:szCs w:val="21"/>
          <w:lang w:val="es-ES" w:eastAsia="en-GB"/>
        </w:rPr>
        <w:t xml:space="preserve"> la</w:t>
      </w:r>
      <w:r w:rsidRPr="00114C49">
        <w:rPr>
          <w:rFonts w:ascii="Arial" w:eastAsia="Times New Roman" w:hAnsi="Arial" w:cs="Arial"/>
          <w:i/>
          <w:sz w:val="21"/>
          <w:szCs w:val="21"/>
          <w:lang w:val="es-ES" w:eastAsia="en-GB"/>
        </w:rPr>
        <w:t xml:space="preserve"> enfermedad renal crónica”</w:t>
      </w:r>
      <w:r w:rsidRPr="00114C49">
        <w:rPr>
          <w:rFonts w:ascii="Arial" w:eastAsia="Times New Roman" w:hAnsi="Arial" w:cs="Arial"/>
          <w:sz w:val="21"/>
          <w:szCs w:val="21"/>
          <w:lang w:val="es-ES" w:eastAsia="en-GB"/>
        </w:rPr>
        <w:t xml:space="preserve">, afirma Paula Puchalt, </w:t>
      </w:r>
      <w:r w:rsidR="00A9507F" w:rsidRPr="00114C49">
        <w:rPr>
          <w:rFonts w:ascii="Arial" w:eastAsia="Times New Roman" w:hAnsi="Arial" w:cs="Arial"/>
          <w:sz w:val="21"/>
          <w:szCs w:val="21"/>
          <w:lang w:val="es-ES" w:eastAsia="en-GB"/>
        </w:rPr>
        <w:t xml:space="preserve">Senior </w:t>
      </w:r>
      <w:r w:rsidRPr="00114C49">
        <w:rPr>
          <w:rFonts w:ascii="Arial" w:eastAsia="Times New Roman" w:hAnsi="Arial" w:cs="Arial"/>
          <w:sz w:val="21"/>
          <w:szCs w:val="21"/>
          <w:lang w:val="es-ES" w:eastAsia="en-GB"/>
        </w:rPr>
        <w:t xml:space="preserve">Marketing </w:t>
      </w:r>
      <w:proofErr w:type="spellStart"/>
      <w:r w:rsidRPr="00114C49">
        <w:rPr>
          <w:rFonts w:ascii="Arial" w:eastAsia="Times New Roman" w:hAnsi="Arial" w:cs="Arial"/>
          <w:sz w:val="21"/>
          <w:szCs w:val="21"/>
          <w:lang w:val="es-ES" w:eastAsia="en-GB"/>
        </w:rPr>
        <w:t>Associate</w:t>
      </w:r>
      <w:proofErr w:type="spellEnd"/>
      <w:r w:rsidRPr="00114C49">
        <w:rPr>
          <w:rFonts w:ascii="Arial" w:eastAsia="Times New Roman" w:hAnsi="Arial" w:cs="Arial"/>
          <w:sz w:val="21"/>
          <w:szCs w:val="21"/>
          <w:lang w:val="es-ES" w:eastAsia="en-GB"/>
        </w:rPr>
        <w:t xml:space="preserve">, PH </w:t>
      </w:r>
      <w:proofErr w:type="spellStart"/>
      <w:r w:rsidRPr="00114C49">
        <w:rPr>
          <w:rFonts w:ascii="Arial" w:eastAsia="Times New Roman" w:hAnsi="Arial" w:cs="Arial"/>
          <w:sz w:val="21"/>
          <w:szCs w:val="21"/>
          <w:lang w:val="es-ES" w:eastAsia="en-GB"/>
        </w:rPr>
        <w:t>Prescription</w:t>
      </w:r>
      <w:proofErr w:type="spellEnd"/>
      <w:r w:rsidRPr="00114C49">
        <w:rPr>
          <w:rFonts w:ascii="Arial" w:eastAsia="Times New Roman" w:hAnsi="Arial" w:cs="Arial"/>
          <w:sz w:val="21"/>
          <w:szCs w:val="21"/>
          <w:lang w:val="es-ES" w:eastAsia="en-GB"/>
        </w:rPr>
        <w:t xml:space="preserve"> </w:t>
      </w:r>
      <w:proofErr w:type="spellStart"/>
      <w:r w:rsidRPr="00114C49">
        <w:rPr>
          <w:rFonts w:ascii="Arial" w:eastAsia="Times New Roman" w:hAnsi="Arial" w:cs="Arial"/>
          <w:sz w:val="21"/>
          <w:szCs w:val="21"/>
          <w:lang w:val="es-ES" w:eastAsia="en-GB"/>
        </w:rPr>
        <w:t>Products</w:t>
      </w:r>
      <w:proofErr w:type="spellEnd"/>
      <w:r w:rsidRPr="00114C49">
        <w:rPr>
          <w:rFonts w:ascii="Arial" w:eastAsia="Times New Roman" w:hAnsi="Arial" w:cs="Arial"/>
          <w:sz w:val="21"/>
          <w:szCs w:val="21"/>
          <w:lang w:val="es-ES" w:eastAsia="en-GB"/>
        </w:rPr>
        <w:t xml:space="preserve"> Iberia de Elanco Animal Health y responsable del lanzamiento en España.</w:t>
      </w:r>
    </w:p>
    <w:p w14:paraId="50B30D01"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40EB45F6" w14:textId="1CDF8562"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r w:rsidRPr="00114C49">
        <w:rPr>
          <w:rFonts w:ascii="Arial" w:eastAsia="Times New Roman" w:hAnsi="Arial" w:cs="Arial"/>
          <w:sz w:val="21"/>
          <w:szCs w:val="21"/>
          <w:lang w:val="es-ES" w:eastAsia="en-GB"/>
        </w:rPr>
        <w:t xml:space="preserve">Por su parte, Gonzalo Remacha, </w:t>
      </w:r>
      <w:proofErr w:type="spellStart"/>
      <w:r w:rsidRPr="00114C49">
        <w:rPr>
          <w:rFonts w:ascii="Arial" w:eastAsia="Times New Roman" w:hAnsi="Arial" w:cs="Arial"/>
          <w:sz w:val="21"/>
          <w:szCs w:val="21"/>
          <w:lang w:val="es-ES" w:eastAsia="en-GB"/>
        </w:rPr>
        <w:t>Technical</w:t>
      </w:r>
      <w:proofErr w:type="spellEnd"/>
      <w:r w:rsidRPr="00114C49">
        <w:rPr>
          <w:rFonts w:ascii="Arial" w:eastAsia="Times New Roman" w:hAnsi="Arial" w:cs="Arial"/>
          <w:sz w:val="21"/>
          <w:szCs w:val="21"/>
          <w:lang w:val="es-ES" w:eastAsia="en-GB"/>
        </w:rPr>
        <w:t xml:space="preserve"> </w:t>
      </w:r>
      <w:proofErr w:type="spellStart"/>
      <w:r w:rsidRPr="00114C49">
        <w:rPr>
          <w:rFonts w:ascii="Arial" w:eastAsia="Times New Roman" w:hAnsi="Arial" w:cs="Arial"/>
          <w:sz w:val="21"/>
          <w:szCs w:val="21"/>
          <w:lang w:val="es-ES" w:eastAsia="en-GB"/>
        </w:rPr>
        <w:t>Consultant</w:t>
      </w:r>
      <w:proofErr w:type="spellEnd"/>
      <w:r w:rsidRPr="00114C49">
        <w:rPr>
          <w:rFonts w:ascii="Arial" w:eastAsia="Times New Roman" w:hAnsi="Arial" w:cs="Arial"/>
          <w:sz w:val="21"/>
          <w:szCs w:val="21"/>
          <w:lang w:val="es-ES" w:eastAsia="en-GB"/>
        </w:rPr>
        <w:t xml:space="preserve"> </w:t>
      </w:r>
      <w:proofErr w:type="spellStart"/>
      <w:r w:rsidRPr="00114C49">
        <w:rPr>
          <w:rFonts w:ascii="Arial" w:eastAsia="Times New Roman" w:hAnsi="Arial" w:cs="Arial"/>
          <w:sz w:val="21"/>
          <w:szCs w:val="21"/>
          <w:lang w:val="es-ES" w:eastAsia="en-GB"/>
        </w:rPr>
        <w:t>Pet</w:t>
      </w:r>
      <w:proofErr w:type="spellEnd"/>
      <w:r w:rsidRPr="00114C49">
        <w:rPr>
          <w:rFonts w:ascii="Arial" w:eastAsia="Times New Roman" w:hAnsi="Arial" w:cs="Arial"/>
          <w:sz w:val="21"/>
          <w:szCs w:val="21"/>
          <w:lang w:val="es-ES" w:eastAsia="en-GB"/>
        </w:rPr>
        <w:t xml:space="preserve"> Health, en representación del equipo técnico de Elanco, señala: </w:t>
      </w:r>
      <w:r w:rsidRPr="00114C49">
        <w:rPr>
          <w:rFonts w:ascii="Arial" w:eastAsia="Times New Roman" w:hAnsi="Arial" w:cs="Arial"/>
          <w:i/>
          <w:sz w:val="21"/>
          <w:szCs w:val="21"/>
          <w:lang w:val="es-ES" w:eastAsia="en-GB"/>
        </w:rPr>
        <w:t xml:space="preserve">“El mecanismo de acción del </w:t>
      </w:r>
      <w:proofErr w:type="spellStart"/>
      <w:r w:rsidRPr="00114C49">
        <w:rPr>
          <w:rFonts w:ascii="Arial" w:eastAsia="Times New Roman" w:hAnsi="Arial" w:cs="Arial"/>
          <w:i/>
          <w:sz w:val="21"/>
          <w:szCs w:val="21"/>
          <w:lang w:val="es-ES" w:eastAsia="en-GB"/>
        </w:rPr>
        <w:t>molidustat</w:t>
      </w:r>
      <w:proofErr w:type="spellEnd"/>
      <w:r w:rsidRPr="00114C49">
        <w:rPr>
          <w:rFonts w:ascii="Arial" w:eastAsia="Times New Roman" w:hAnsi="Arial" w:cs="Arial"/>
          <w:i/>
          <w:sz w:val="21"/>
          <w:szCs w:val="21"/>
          <w:lang w:val="es-ES" w:eastAsia="en-GB"/>
        </w:rPr>
        <w:t xml:space="preserve"> permite abordar la anemia desde un enfoque fisiológico, estimulando la producción endógena de eritropoyetina. </w:t>
      </w:r>
      <w:r w:rsidR="0070209F" w:rsidRPr="0070209F">
        <w:rPr>
          <w:rFonts w:ascii="Arial" w:eastAsia="Times New Roman" w:hAnsi="Arial" w:cs="Arial"/>
          <w:i/>
          <w:sz w:val="21"/>
          <w:szCs w:val="21"/>
          <w:lang w:eastAsia="en-GB"/>
        </w:rPr>
        <w:t>Esto mejora el transporte de oxígeno y se traduce en una opción terapéutica aprobada, específicamente desarrollada para gatos y avalada por la evidencia científica</w:t>
      </w:r>
      <w:r w:rsidRPr="00114C49">
        <w:rPr>
          <w:rFonts w:ascii="Arial" w:eastAsia="Times New Roman" w:hAnsi="Arial" w:cs="Arial"/>
          <w:i/>
          <w:sz w:val="21"/>
          <w:szCs w:val="21"/>
          <w:lang w:val="es-ES" w:eastAsia="en-GB"/>
        </w:rPr>
        <w:t>”</w:t>
      </w:r>
      <w:r w:rsidRPr="00114C49">
        <w:rPr>
          <w:rFonts w:ascii="Arial" w:eastAsia="Times New Roman" w:hAnsi="Arial" w:cs="Arial"/>
          <w:sz w:val="21"/>
          <w:szCs w:val="21"/>
          <w:lang w:val="es-ES" w:eastAsia="en-GB"/>
        </w:rPr>
        <w:t>.</w:t>
      </w:r>
    </w:p>
    <w:p w14:paraId="24B6BAEB" w14:textId="77777777" w:rsidR="00A5544E" w:rsidRPr="00114C49" w:rsidRDefault="00A5544E"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10F9865F" w14:textId="73999244" w:rsidR="004E390B" w:rsidRPr="00114C49" w:rsidRDefault="000E383C"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roofErr w:type="spellStart"/>
      <w:r w:rsidRPr="00114C49">
        <w:rPr>
          <w:rFonts w:ascii="Arial" w:eastAsia="Times New Roman" w:hAnsi="Arial" w:cs="Arial"/>
          <w:sz w:val="21"/>
          <w:szCs w:val="21"/>
          <w:lang w:val="es-ES" w:eastAsia="en-GB"/>
        </w:rPr>
        <w:t>Varenzin</w:t>
      </w:r>
      <w:proofErr w:type="spellEnd"/>
      <w:r w:rsidRPr="00114C49">
        <w:rPr>
          <w:rFonts w:ascii="Arial" w:eastAsia="Times New Roman" w:hAnsi="Arial" w:cs="Arial"/>
          <w:sz w:val="21"/>
          <w:szCs w:val="21"/>
          <w:vertAlign w:val="superscript"/>
          <w:lang w:val="es-ES" w:eastAsia="en-GB"/>
        </w:rPr>
        <w:t>®</w:t>
      </w:r>
      <w:r w:rsidRPr="00114C49">
        <w:rPr>
          <w:rFonts w:ascii="Arial" w:eastAsia="Times New Roman" w:hAnsi="Arial" w:cs="Arial"/>
          <w:sz w:val="21"/>
          <w:szCs w:val="21"/>
          <w:lang w:val="es-ES" w:eastAsia="en-GB"/>
        </w:rPr>
        <w:t xml:space="preserve"> establece un nuevo estándar en el manejo temprano de la anemia no regenerativa asociada a ERC, proporcionando a los profesionales veterinarios una herramienta </w:t>
      </w:r>
      <w:r w:rsidR="00A075A4" w:rsidRPr="00114C49">
        <w:rPr>
          <w:rFonts w:ascii="Arial" w:eastAsia="Times New Roman" w:hAnsi="Arial" w:cs="Arial"/>
          <w:sz w:val="21"/>
          <w:szCs w:val="21"/>
          <w:lang w:val="es-ES" w:eastAsia="en-GB"/>
        </w:rPr>
        <w:t>sólida</w:t>
      </w:r>
      <w:r w:rsidRPr="00114C49">
        <w:rPr>
          <w:rFonts w:ascii="Arial" w:eastAsia="Times New Roman" w:hAnsi="Arial" w:cs="Arial"/>
          <w:sz w:val="21"/>
          <w:szCs w:val="21"/>
          <w:lang w:val="es-ES" w:eastAsia="en-GB"/>
        </w:rPr>
        <w:t xml:space="preserve"> y fácil de integrar en la práctica clínica diaria.</w:t>
      </w:r>
    </w:p>
    <w:p w14:paraId="77B596F1" w14:textId="77777777" w:rsidR="004E390B" w:rsidRPr="00114C49" w:rsidRDefault="004E390B"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0C6CA50C" w14:textId="77777777" w:rsidR="004E390B" w:rsidRPr="00114C49" w:rsidRDefault="004E390B" w:rsidP="004E390B">
      <w:pPr>
        <w:spacing w:before="100" w:beforeAutospacing="1" w:after="100" w:afterAutospacing="1" w:line="240" w:lineRule="auto"/>
        <w:contextualSpacing/>
        <w:jc w:val="both"/>
        <w:rPr>
          <w:rFonts w:ascii="Arial" w:eastAsia="Times New Roman" w:hAnsi="Arial" w:cs="Arial"/>
          <w:sz w:val="21"/>
          <w:szCs w:val="21"/>
          <w:lang w:val="es-ES" w:eastAsia="en-GB"/>
        </w:rPr>
      </w:pPr>
    </w:p>
    <w:p w14:paraId="27D04E2F" w14:textId="718081AF" w:rsidR="004E390B" w:rsidRPr="00114C49" w:rsidRDefault="004E390B" w:rsidP="004E390B">
      <w:pPr>
        <w:spacing w:before="100" w:beforeAutospacing="1" w:after="100" w:afterAutospacing="1" w:line="240" w:lineRule="auto"/>
        <w:contextualSpacing/>
        <w:jc w:val="both"/>
        <w:rPr>
          <w:rFonts w:ascii="Arial" w:eastAsia="Times New Roman" w:hAnsi="Arial" w:cs="Arial"/>
          <w:sz w:val="14"/>
          <w:szCs w:val="14"/>
          <w:lang w:val="en-GB" w:eastAsia="en-GB"/>
        </w:rPr>
      </w:pPr>
      <w:r w:rsidRPr="00114C49">
        <w:rPr>
          <w:rFonts w:ascii="Arial" w:eastAsia="Times New Roman" w:hAnsi="Arial" w:cs="Arial"/>
          <w:sz w:val="14"/>
          <w:szCs w:val="14"/>
          <w:lang w:val="es-ES" w:eastAsia="en-GB"/>
        </w:rPr>
        <w:t xml:space="preserve">ERC: Enfermedad Renal Crónica; EPO: Eritropoyetina. *Estudio realizado en gatos sanos. </w:t>
      </w:r>
      <w:r w:rsidRPr="00114C49">
        <w:rPr>
          <w:rFonts w:ascii="Arial" w:eastAsia="Times New Roman" w:hAnsi="Arial" w:cs="Arial"/>
          <w:sz w:val="14"/>
          <w:szCs w:val="14"/>
          <w:lang w:val="en-GB" w:eastAsia="en-GB"/>
        </w:rPr>
        <w:t xml:space="preserve">No </w:t>
      </w:r>
      <w:proofErr w:type="spellStart"/>
      <w:r w:rsidRPr="00114C49">
        <w:rPr>
          <w:rFonts w:ascii="Arial" w:eastAsia="Times New Roman" w:hAnsi="Arial" w:cs="Arial"/>
          <w:sz w:val="14"/>
          <w:szCs w:val="14"/>
          <w:lang w:val="en-GB" w:eastAsia="en-GB"/>
        </w:rPr>
        <w:t>conservar</w:t>
      </w:r>
      <w:proofErr w:type="spellEnd"/>
      <w:r w:rsidRPr="00114C49">
        <w:rPr>
          <w:rFonts w:ascii="Arial" w:eastAsia="Times New Roman" w:hAnsi="Arial" w:cs="Arial"/>
          <w:sz w:val="14"/>
          <w:szCs w:val="14"/>
          <w:lang w:val="en-GB" w:eastAsia="en-GB"/>
        </w:rPr>
        <w:t xml:space="preserve"> </w:t>
      </w:r>
      <w:proofErr w:type="spellStart"/>
      <w:r w:rsidRPr="00114C49">
        <w:rPr>
          <w:rFonts w:ascii="Arial" w:eastAsia="Times New Roman" w:hAnsi="Arial" w:cs="Arial"/>
          <w:sz w:val="14"/>
          <w:szCs w:val="14"/>
          <w:lang w:val="en-GB" w:eastAsia="en-GB"/>
        </w:rPr>
        <w:t>por</w:t>
      </w:r>
      <w:proofErr w:type="spellEnd"/>
      <w:r w:rsidRPr="00114C49">
        <w:rPr>
          <w:rFonts w:ascii="Arial" w:eastAsia="Times New Roman" w:hAnsi="Arial" w:cs="Arial"/>
          <w:sz w:val="14"/>
          <w:szCs w:val="14"/>
          <w:lang w:val="en-GB" w:eastAsia="en-GB"/>
        </w:rPr>
        <w:t xml:space="preserve"> </w:t>
      </w:r>
      <w:proofErr w:type="spellStart"/>
      <w:r w:rsidRPr="00114C49">
        <w:rPr>
          <w:rFonts w:ascii="Arial" w:eastAsia="Times New Roman" w:hAnsi="Arial" w:cs="Arial"/>
          <w:sz w:val="14"/>
          <w:szCs w:val="14"/>
          <w:lang w:val="en-GB" w:eastAsia="en-GB"/>
        </w:rPr>
        <w:t>encima</w:t>
      </w:r>
      <w:proofErr w:type="spellEnd"/>
      <w:r w:rsidRPr="00114C49">
        <w:rPr>
          <w:rFonts w:ascii="Arial" w:eastAsia="Times New Roman" w:hAnsi="Arial" w:cs="Arial"/>
          <w:sz w:val="14"/>
          <w:szCs w:val="14"/>
          <w:lang w:val="en-GB" w:eastAsia="en-GB"/>
        </w:rPr>
        <w:t xml:space="preserve"> de 30ºC.</w:t>
      </w:r>
    </w:p>
    <w:p w14:paraId="655488C8" w14:textId="7DDA0ED7" w:rsidR="004E390B" w:rsidRPr="00114C49" w:rsidRDefault="006478B0" w:rsidP="004E390B">
      <w:pPr>
        <w:spacing w:before="100" w:beforeAutospacing="1" w:after="100" w:afterAutospacing="1" w:line="240" w:lineRule="auto"/>
        <w:contextualSpacing/>
        <w:jc w:val="both"/>
        <w:rPr>
          <w:rFonts w:ascii="Arial" w:eastAsia="Times New Roman" w:hAnsi="Arial" w:cs="Arial"/>
          <w:sz w:val="14"/>
          <w:szCs w:val="14"/>
          <w:lang w:val="es-ES" w:eastAsia="en-GB"/>
        </w:rPr>
      </w:pPr>
      <w:r w:rsidRPr="00114C49">
        <w:rPr>
          <w:rFonts w:ascii="Arial" w:eastAsia="Times New Roman" w:hAnsi="Arial" w:cs="Arial"/>
          <w:b/>
          <w:sz w:val="14"/>
          <w:szCs w:val="14"/>
          <w:lang w:val="en-GB" w:eastAsia="en-GB"/>
        </w:rPr>
        <w:t>1</w:t>
      </w:r>
      <w:r w:rsidR="005956C3" w:rsidRPr="00114C49">
        <w:rPr>
          <w:rFonts w:ascii="Arial" w:eastAsia="Times New Roman" w:hAnsi="Arial" w:cs="Arial"/>
          <w:b/>
          <w:sz w:val="14"/>
          <w:szCs w:val="14"/>
          <w:lang w:val="en-GB" w:eastAsia="en-GB"/>
        </w:rPr>
        <w:t xml:space="preserve">- </w:t>
      </w:r>
      <w:r w:rsidRPr="00114C49">
        <w:rPr>
          <w:rFonts w:ascii="Arial" w:eastAsia="Times New Roman" w:hAnsi="Arial" w:cs="Arial"/>
          <w:sz w:val="14"/>
          <w:szCs w:val="14"/>
          <w:lang w:val="en-GB" w:eastAsia="en-GB"/>
        </w:rPr>
        <w:t xml:space="preserve">The Nobel Prize in Physiology or Medicine 2019. </w:t>
      </w:r>
      <w:proofErr w:type="gramStart"/>
      <w:r w:rsidRPr="00114C49">
        <w:rPr>
          <w:rFonts w:ascii="Arial" w:eastAsia="Times New Roman" w:hAnsi="Arial" w:cs="Arial"/>
          <w:sz w:val="14"/>
          <w:szCs w:val="14"/>
          <w:lang w:val="en-GB" w:eastAsia="en-GB"/>
        </w:rPr>
        <w:t>NobelPrize.org. Nobel Prize Outreach 2026.</w:t>
      </w:r>
      <w:proofErr w:type="gramEnd"/>
      <w:r w:rsidRPr="00114C49">
        <w:rPr>
          <w:rFonts w:ascii="Arial" w:eastAsia="Times New Roman" w:hAnsi="Arial" w:cs="Arial"/>
          <w:sz w:val="14"/>
          <w:szCs w:val="14"/>
          <w:lang w:val="en-GB" w:eastAsia="en-GB"/>
        </w:rPr>
        <w:t xml:space="preserve"> Fri. 20 Feb 2026. &lt;https://www.nobelprize.org/prizes/medicine/2019/summary/&gt;. </w:t>
      </w:r>
      <w:r w:rsidRPr="00114C49">
        <w:rPr>
          <w:rFonts w:ascii="Arial" w:eastAsia="Times New Roman" w:hAnsi="Arial" w:cs="Arial"/>
          <w:b/>
          <w:sz w:val="14"/>
          <w:szCs w:val="14"/>
          <w:lang w:val="en-GB" w:eastAsia="en-GB"/>
        </w:rPr>
        <w:t>2</w:t>
      </w:r>
      <w:r w:rsidR="004E390B" w:rsidRPr="00114C49">
        <w:rPr>
          <w:rFonts w:ascii="Arial" w:eastAsia="Times New Roman" w:hAnsi="Arial" w:cs="Arial"/>
          <w:b/>
          <w:sz w:val="14"/>
          <w:szCs w:val="14"/>
          <w:lang w:val="en-GB" w:eastAsia="en-GB"/>
        </w:rPr>
        <w:t>-</w:t>
      </w:r>
      <w:r w:rsidR="004E390B" w:rsidRPr="00114C49">
        <w:rPr>
          <w:rFonts w:ascii="Arial" w:eastAsia="Times New Roman" w:hAnsi="Arial" w:cs="Arial"/>
          <w:sz w:val="14"/>
          <w:szCs w:val="14"/>
          <w:lang w:val="en-GB" w:eastAsia="en-GB"/>
        </w:rPr>
        <w:t xml:space="preserve"> Chalhoub S, et al. </w:t>
      </w:r>
      <w:proofErr w:type="spellStart"/>
      <w:r w:rsidR="004E390B" w:rsidRPr="00114C49">
        <w:rPr>
          <w:rFonts w:ascii="Arial" w:eastAsia="Times New Roman" w:hAnsi="Arial" w:cs="Arial"/>
          <w:sz w:val="14"/>
          <w:szCs w:val="14"/>
          <w:lang w:val="en-GB" w:eastAsia="en-GB"/>
        </w:rPr>
        <w:t>Anemia</w:t>
      </w:r>
      <w:proofErr w:type="spellEnd"/>
      <w:r w:rsidR="004E390B" w:rsidRPr="00114C49">
        <w:rPr>
          <w:rFonts w:ascii="Arial" w:eastAsia="Times New Roman" w:hAnsi="Arial" w:cs="Arial"/>
          <w:sz w:val="14"/>
          <w:szCs w:val="14"/>
          <w:lang w:val="en-GB" w:eastAsia="en-GB"/>
        </w:rPr>
        <w:t xml:space="preserve"> of renal disease: what it is, what to do and what’s new. J Feline Med Surg. 2011</w:t>
      </w:r>
      <w:proofErr w:type="gramStart"/>
      <w:r w:rsidR="004E390B" w:rsidRPr="00114C49">
        <w:rPr>
          <w:rFonts w:ascii="Arial" w:eastAsia="Times New Roman" w:hAnsi="Arial" w:cs="Arial"/>
          <w:sz w:val="14"/>
          <w:szCs w:val="14"/>
          <w:lang w:val="en-GB" w:eastAsia="en-GB"/>
        </w:rPr>
        <w:t>;13</w:t>
      </w:r>
      <w:proofErr w:type="gramEnd"/>
      <w:r w:rsidR="004E390B" w:rsidRPr="00114C49">
        <w:rPr>
          <w:rFonts w:ascii="Arial" w:eastAsia="Times New Roman" w:hAnsi="Arial" w:cs="Arial"/>
          <w:sz w:val="14"/>
          <w:szCs w:val="14"/>
          <w:lang w:val="en-GB" w:eastAsia="en-GB"/>
        </w:rPr>
        <w:t xml:space="preserve">(9):629-40. </w:t>
      </w:r>
      <w:proofErr w:type="gramStart"/>
      <w:r w:rsidRPr="00114C49">
        <w:rPr>
          <w:rFonts w:ascii="Arial" w:eastAsia="Times New Roman" w:hAnsi="Arial" w:cs="Arial"/>
          <w:b/>
          <w:sz w:val="14"/>
          <w:szCs w:val="14"/>
          <w:lang w:val="en-GB" w:eastAsia="en-GB"/>
        </w:rPr>
        <w:t>3</w:t>
      </w:r>
      <w:r w:rsidR="004E390B" w:rsidRPr="00114C49">
        <w:rPr>
          <w:rFonts w:ascii="Arial" w:eastAsia="Times New Roman" w:hAnsi="Arial" w:cs="Arial"/>
          <w:b/>
          <w:sz w:val="14"/>
          <w:szCs w:val="14"/>
          <w:lang w:val="en-GB" w:eastAsia="en-GB"/>
        </w:rPr>
        <w:t>-</w:t>
      </w:r>
      <w:r w:rsidR="004E390B" w:rsidRPr="00114C49">
        <w:rPr>
          <w:rFonts w:ascii="Arial" w:eastAsia="Times New Roman" w:hAnsi="Arial" w:cs="Arial"/>
          <w:sz w:val="14"/>
          <w:szCs w:val="14"/>
          <w:lang w:val="en-GB" w:eastAsia="en-GB"/>
        </w:rPr>
        <w:t xml:space="preserve"> New therapeutic approaches to management of </w:t>
      </w:r>
      <w:proofErr w:type="spellStart"/>
      <w:r w:rsidR="004E390B" w:rsidRPr="00114C49">
        <w:rPr>
          <w:rFonts w:ascii="Arial" w:eastAsia="Times New Roman" w:hAnsi="Arial" w:cs="Arial"/>
          <w:sz w:val="14"/>
          <w:szCs w:val="14"/>
          <w:lang w:val="en-GB" w:eastAsia="en-GB"/>
        </w:rPr>
        <w:t>anemia</w:t>
      </w:r>
      <w:proofErr w:type="spellEnd"/>
      <w:r w:rsidR="004E390B" w:rsidRPr="00114C49">
        <w:rPr>
          <w:rFonts w:ascii="Arial" w:eastAsia="Times New Roman" w:hAnsi="Arial" w:cs="Arial"/>
          <w:sz w:val="14"/>
          <w:szCs w:val="14"/>
          <w:lang w:val="en-GB" w:eastAsia="en-GB"/>
        </w:rPr>
        <w:t xml:space="preserve"> and iron metabolism in chronic kidney disease.</w:t>
      </w:r>
      <w:proofErr w:type="gramEnd"/>
      <w:r w:rsidR="004E390B" w:rsidRPr="00114C49">
        <w:rPr>
          <w:rFonts w:ascii="Arial" w:eastAsia="Times New Roman" w:hAnsi="Arial" w:cs="Arial"/>
          <w:sz w:val="14"/>
          <w:szCs w:val="14"/>
          <w:lang w:val="en-GB" w:eastAsia="en-GB"/>
        </w:rPr>
        <w:t xml:space="preserve"> https://www.iriskidney. </w:t>
      </w:r>
      <w:proofErr w:type="gramStart"/>
      <w:r w:rsidR="004E390B" w:rsidRPr="00114C49">
        <w:rPr>
          <w:rFonts w:ascii="Arial" w:eastAsia="Times New Roman" w:hAnsi="Arial" w:cs="Arial"/>
          <w:sz w:val="14"/>
          <w:szCs w:val="14"/>
          <w:lang w:val="en-GB" w:eastAsia="en-GB"/>
        </w:rPr>
        <w:t>com</w:t>
      </w:r>
      <w:proofErr w:type="gramEnd"/>
      <w:r w:rsidR="004E390B" w:rsidRPr="00114C49">
        <w:rPr>
          <w:rFonts w:ascii="Arial" w:eastAsia="Times New Roman" w:hAnsi="Arial" w:cs="Arial"/>
          <w:sz w:val="14"/>
          <w:szCs w:val="14"/>
          <w:lang w:val="en-GB" w:eastAsia="en-GB"/>
        </w:rPr>
        <w:t>/treatment-of-</w:t>
      </w:r>
      <w:proofErr w:type="spellStart"/>
      <w:r w:rsidR="004E390B" w:rsidRPr="00114C49">
        <w:rPr>
          <w:rFonts w:ascii="Arial" w:eastAsia="Times New Roman" w:hAnsi="Arial" w:cs="Arial"/>
          <w:sz w:val="14"/>
          <w:szCs w:val="14"/>
          <w:lang w:val="en-GB" w:eastAsia="en-GB"/>
        </w:rPr>
        <w:t>anemia</w:t>
      </w:r>
      <w:proofErr w:type="spellEnd"/>
      <w:r w:rsidR="004E390B" w:rsidRPr="00114C49">
        <w:rPr>
          <w:rFonts w:ascii="Arial" w:eastAsia="Times New Roman" w:hAnsi="Arial" w:cs="Arial"/>
          <w:sz w:val="14"/>
          <w:szCs w:val="14"/>
          <w:lang w:val="en-GB" w:eastAsia="en-GB"/>
        </w:rPr>
        <w:t>-in-cats-with-</w:t>
      </w:r>
      <w:proofErr w:type="spellStart"/>
      <w:r w:rsidR="004E390B" w:rsidRPr="00114C49">
        <w:rPr>
          <w:rFonts w:ascii="Arial" w:eastAsia="Times New Roman" w:hAnsi="Arial" w:cs="Arial"/>
          <w:sz w:val="14"/>
          <w:szCs w:val="14"/>
          <w:lang w:val="en-GB" w:eastAsia="en-GB"/>
        </w:rPr>
        <w:t>ckd</w:t>
      </w:r>
      <w:proofErr w:type="spellEnd"/>
      <w:r w:rsidR="004E390B" w:rsidRPr="00114C49">
        <w:rPr>
          <w:rFonts w:ascii="Arial" w:eastAsia="Times New Roman" w:hAnsi="Arial" w:cs="Arial"/>
          <w:sz w:val="14"/>
          <w:szCs w:val="14"/>
          <w:lang w:val="en-GB" w:eastAsia="en-GB"/>
        </w:rPr>
        <w:t xml:space="preserve">. </w:t>
      </w:r>
      <w:r w:rsidR="005956C3" w:rsidRPr="00114C49">
        <w:rPr>
          <w:rFonts w:ascii="Arial" w:eastAsia="Times New Roman" w:hAnsi="Arial" w:cs="Arial"/>
          <w:b/>
          <w:sz w:val="14"/>
          <w:szCs w:val="14"/>
          <w:lang w:val="en-GB" w:eastAsia="en-GB"/>
        </w:rPr>
        <w:t>4</w:t>
      </w:r>
      <w:r w:rsidR="004E390B" w:rsidRPr="00114C49">
        <w:rPr>
          <w:rFonts w:ascii="Arial" w:eastAsia="Times New Roman" w:hAnsi="Arial" w:cs="Arial"/>
          <w:b/>
          <w:sz w:val="14"/>
          <w:szCs w:val="14"/>
          <w:lang w:val="en-GB" w:eastAsia="en-GB"/>
        </w:rPr>
        <w:t>-</w:t>
      </w:r>
      <w:r w:rsidR="004E390B" w:rsidRPr="00114C49">
        <w:rPr>
          <w:rFonts w:ascii="Arial" w:eastAsia="Times New Roman" w:hAnsi="Arial" w:cs="Arial"/>
          <w:sz w:val="14"/>
          <w:szCs w:val="14"/>
          <w:lang w:val="en-GB" w:eastAsia="en-GB"/>
        </w:rPr>
        <w:t xml:space="preserve"> Nupur Gupta, MD, and Jay B. Wish, MD, 2017. Hypoxia-Inducible Factor Prolyl Hydroxylase Inhibitors: A Potential New Treatment for </w:t>
      </w:r>
      <w:proofErr w:type="spellStart"/>
      <w:r w:rsidR="004E390B" w:rsidRPr="00114C49">
        <w:rPr>
          <w:rFonts w:ascii="Arial" w:eastAsia="Times New Roman" w:hAnsi="Arial" w:cs="Arial"/>
          <w:sz w:val="14"/>
          <w:szCs w:val="14"/>
          <w:lang w:val="en-GB" w:eastAsia="en-GB"/>
        </w:rPr>
        <w:t>Anemia</w:t>
      </w:r>
      <w:proofErr w:type="spellEnd"/>
      <w:r w:rsidR="004E390B" w:rsidRPr="00114C49">
        <w:rPr>
          <w:rFonts w:ascii="Arial" w:eastAsia="Times New Roman" w:hAnsi="Arial" w:cs="Arial"/>
          <w:sz w:val="14"/>
          <w:szCs w:val="14"/>
          <w:lang w:val="en-GB" w:eastAsia="en-GB"/>
        </w:rPr>
        <w:t xml:space="preserve"> in Patients With CKD. Am J Kidney Dis. 2017</w:t>
      </w:r>
      <w:proofErr w:type="gramStart"/>
      <w:r w:rsidR="004E390B" w:rsidRPr="00114C49">
        <w:rPr>
          <w:rFonts w:ascii="Arial" w:eastAsia="Times New Roman" w:hAnsi="Arial" w:cs="Arial"/>
          <w:sz w:val="14"/>
          <w:szCs w:val="14"/>
          <w:lang w:val="en-GB" w:eastAsia="en-GB"/>
        </w:rPr>
        <w:t>;69</w:t>
      </w:r>
      <w:proofErr w:type="gramEnd"/>
      <w:r w:rsidR="004E390B" w:rsidRPr="00114C49">
        <w:rPr>
          <w:rFonts w:ascii="Arial" w:eastAsia="Times New Roman" w:hAnsi="Arial" w:cs="Arial"/>
          <w:sz w:val="14"/>
          <w:szCs w:val="14"/>
          <w:lang w:val="en-GB" w:eastAsia="en-GB"/>
        </w:rPr>
        <w:t xml:space="preserve">(6):815-826. </w:t>
      </w:r>
      <w:r w:rsidR="005956C3" w:rsidRPr="00114C49">
        <w:rPr>
          <w:rFonts w:ascii="Arial" w:eastAsia="Times New Roman" w:hAnsi="Arial" w:cs="Arial"/>
          <w:b/>
          <w:sz w:val="14"/>
          <w:szCs w:val="14"/>
          <w:lang w:val="en-GB" w:eastAsia="en-GB"/>
        </w:rPr>
        <w:t>5-</w:t>
      </w:r>
      <w:r w:rsidR="005956C3" w:rsidRPr="00114C49">
        <w:rPr>
          <w:rFonts w:ascii="Arial" w:eastAsia="Times New Roman" w:hAnsi="Arial" w:cs="Arial"/>
          <w:sz w:val="14"/>
          <w:szCs w:val="14"/>
          <w:lang w:val="en-GB" w:eastAsia="en-GB"/>
        </w:rPr>
        <w:t xml:space="preserve"> Mangold- Gehring. S. </w:t>
      </w:r>
      <w:proofErr w:type="gramStart"/>
      <w:r w:rsidR="005956C3" w:rsidRPr="00114C49">
        <w:rPr>
          <w:rFonts w:ascii="Arial" w:eastAsia="Times New Roman" w:hAnsi="Arial" w:cs="Arial"/>
          <w:sz w:val="14"/>
          <w:szCs w:val="14"/>
          <w:lang w:val="en-GB" w:eastAsia="en-GB"/>
        </w:rPr>
        <w:t>et</w:t>
      </w:r>
      <w:proofErr w:type="gramEnd"/>
      <w:r w:rsidR="005956C3" w:rsidRPr="00114C49">
        <w:rPr>
          <w:rFonts w:ascii="Arial" w:eastAsia="Times New Roman" w:hAnsi="Arial" w:cs="Arial"/>
          <w:sz w:val="14"/>
          <w:szCs w:val="14"/>
          <w:lang w:val="en-GB" w:eastAsia="en-GB"/>
        </w:rPr>
        <w:t xml:space="preserve"> al. EXPRESS: Palatability of sunflower </w:t>
      </w:r>
      <w:proofErr w:type="spellStart"/>
      <w:r w:rsidR="005956C3" w:rsidRPr="00114C49">
        <w:rPr>
          <w:rFonts w:ascii="Arial" w:eastAsia="Times New Roman" w:hAnsi="Arial" w:cs="Arial"/>
          <w:sz w:val="14"/>
          <w:szCs w:val="14"/>
          <w:lang w:val="en-GB" w:eastAsia="en-GB"/>
        </w:rPr>
        <w:t>oilbased</w:t>
      </w:r>
      <w:proofErr w:type="spellEnd"/>
      <w:r w:rsidR="005956C3" w:rsidRPr="00114C49">
        <w:rPr>
          <w:rFonts w:ascii="Arial" w:eastAsia="Times New Roman" w:hAnsi="Arial" w:cs="Arial"/>
          <w:sz w:val="14"/>
          <w:szCs w:val="14"/>
          <w:lang w:val="en-GB" w:eastAsia="en-GB"/>
        </w:rPr>
        <w:t xml:space="preserve"> versus aqueous verum formulations of </w:t>
      </w:r>
      <w:proofErr w:type="spellStart"/>
      <w:r w:rsidR="005956C3" w:rsidRPr="00114C49">
        <w:rPr>
          <w:rFonts w:ascii="Arial" w:eastAsia="Times New Roman" w:hAnsi="Arial" w:cs="Arial"/>
          <w:sz w:val="14"/>
          <w:szCs w:val="14"/>
          <w:lang w:val="en-GB" w:eastAsia="en-GB"/>
        </w:rPr>
        <w:t>molidustat</w:t>
      </w:r>
      <w:proofErr w:type="spellEnd"/>
      <w:r w:rsidR="005956C3" w:rsidRPr="00114C49">
        <w:rPr>
          <w:rFonts w:ascii="Arial" w:eastAsia="Times New Roman" w:hAnsi="Arial" w:cs="Arial"/>
          <w:sz w:val="14"/>
          <w:szCs w:val="14"/>
          <w:lang w:val="en-GB" w:eastAsia="en-GB"/>
        </w:rPr>
        <w:t xml:space="preserve"> in healthy cats. J Feline Med Surg. 2026 Feb 20:1098612X261428943. </w:t>
      </w:r>
      <w:r w:rsidR="005956C3" w:rsidRPr="00114C49">
        <w:rPr>
          <w:rFonts w:ascii="Arial" w:eastAsia="Times New Roman" w:hAnsi="Arial" w:cs="Arial"/>
          <w:b/>
          <w:sz w:val="14"/>
          <w:szCs w:val="14"/>
          <w:lang w:val="en-GB" w:eastAsia="en-GB"/>
        </w:rPr>
        <w:t>6-</w:t>
      </w:r>
      <w:r w:rsidR="004E390B" w:rsidRPr="00114C49">
        <w:rPr>
          <w:rFonts w:ascii="Arial" w:eastAsia="Times New Roman" w:hAnsi="Arial" w:cs="Arial"/>
          <w:sz w:val="14"/>
          <w:szCs w:val="14"/>
          <w:lang w:val="en-GB" w:eastAsia="en-GB"/>
        </w:rPr>
        <w:t xml:space="preserve"> Schmidt et al. Effectiveness and long-term safety of repeated oral administrations of </w:t>
      </w:r>
      <w:proofErr w:type="spellStart"/>
      <w:r w:rsidR="004E390B" w:rsidRPr="00114C49">
        <w:rPr>
          <w:rFonts w:ascii="Arial" w:eastAsia="Times New Roman" w:hAnsi="Arial" w:cs="Arial"/>
          <w:sz w:val="14"/>
          <w:szCs w:val="14"/>
          <w:lang w:val="en-GB" w:eastAsia="en-GB"/>
        </w:rPr>
        <w:t>molidustat</w:t>
      </w:r>
      <w:proofErr w:type="spellEnd"/>
      <w:r w:rsidR="004E390B" w:rsidRPr="00114C49">
        <w:rPr>
          <w:rFonts w:ascii="Arial" w:eastAsia="Times New Roman" w:hAnsi="Arial" w:cs="Arial"/>
          <w:sz w:val="14"/>
          <w:szCs w:val="14"/>
          <w:lang w:val="en-GB" w:eastAsia="en-GB"/>
        </w:rPr>
        <w:t xml:space="preserve"> in the management of </w:t>
      </w:r>
      <w:proofErr w:type="spellStart"/>
      <w:r w:rsidR="004E390B" w:rsidRPr="00114C49">
        <w:rPr>
          <w:rFonts w:ascii="Arial" w:eastAsia="Times New Roman" w:hAnsi="Arial" w:cs="Arial"/>
          <w:sz w:val="14"/>
          <w:szCs w:val="14"/>
          <w:lang w:val="en-GB" w:eastAsia="en-GB"/>
        </w:rPr>
        <w:t>anemia</w:t>
      </w:r>
      <w:proofErr w:type="spellEnd"/>
      <w:r w:rsidR="004E390B" w:rsidRPr="00114C49">
        <w:rPr>
          <w:rFonts w:ascii="Arial" w:eastAsia="Times New Roman" w:hAnsi="Arial" w:cs="Arial"/>
          <w:sz w:val="14"/>
          <w:szCs w:val="14"/>
          <w:lang w:val="en-GB" w:eastAsia="en-GB"/>
        </w:rPr>
        <w:t xml:space="preserve"> associated with chronic kidney disease in cats. Journal of Veterinary Internal Medicine, Volume 40, Issue 1, </w:t>
      </w:r>
      <w:proofErr w:type="spellStart"/>
      <w:r w:rsidR="004E390B" w:rsidRPr="00114C49">
        <w:rPr>
          <w:rFonts w:ascii="Arial" w:eastAsia="Times New Roman" w:hAnsi="Arial" w:cs="Arial"/>
          <w:sz w:val="14"/>
          <w:szCs w:val="14"/>
          <w:lang w:val="en-GB" w:eastAsia="en-GB"/>
        </w:rPr>
        <w:t>JanuaryFebruary</w:t>
      </w:r>
      <w:proofErr w:type="spellEnd"/>
      <w:r w:rsidR="004E390B" w:rsidRPr="00114C49">
        <w:rPr>
          <w:rFonts w:ascii="Arial" w:eastAsia="Times New Roman" w:hAnsi="Arial" w:cs="Arial"/>
          <w:sz w:val="14"/>
          <w:szCs w:val="14"/>
          <w:lang w:val="en-GB" w:eastAsia="en-GB"/>
        </w:rPr>
        <w:t xml:space="preserve"> 2026, aalaf079. </w:t>
      </w:r>
      <w:proofErr w:type="gramStart"/>
      <w:r w:rsidR="005956C3" w:rsidRPr="00114C49">
        <w:rPr>
          <w:rFonts w:ascii="Arial" w:eastAsia="Times New Roman" w:hAnsi="Arial" w:cs="Arial"/>
          <w:b/>
          <w:sz w:val="14"/>
          <w:szCs w:val="14"/>
          <w:lang w:val="en-GB" w:eastAsia="en-GB"/>
        </w:rPr>
        <w:t>7-</w:t>
      </w:r>
      <w:r w:rsidR="004E390B" w:rsidRPr="00114C49">
        <w:rPr>
          <w:rFonts w:ascii="Arial" w:eastAsia="Times New Roman" w:hAnsi="Arial" w:cs="Arial"/>
          <w:sz w:val="14"/>
          <w:szCs w:val="14"/>
          <w:lang w:val="en-GB" w:eastAsia="en-GB"/>
        </w:rPr>
        <w:t xml:space="preserve">Charles et al, Use of </w:t>
      </w:r>
      <w:proofErr w:type="spellStart"/>
      <w:r w:rsidR="004E390B" w:rsidRPr="00114C49">
        <w:rPr>
          <w:rFonts w:ascii="Arial" w:eastAsia="Times New Roman" w:hAnsi="Arial" w:cs="Arial"/>
          <w:sz w:val="14"/>
          <w:szCs w:val="14"/>
          <w:lang w:val="en-GB" w:eastAsia="en-GB"/>
        </w:rPr>
        <w:t>molidustat</w:t>
      </w:r>
      <w:proofErr w:type="spellEnd"/>
      <w:r w:rsidR="004E390B" w:rsidRPr="00114C49">
        <w:rPr>
          <w:rFonts w:ascii="Arial" w:eastAsia="Times New Roman" w:hAnsi="Arial" w:cs="Arial"/>
          <w:sz w:val="14"/>
          <w:szCs w:val="14"/>
          <w:lang w:val="en-GB" w:eastAsia="en-GB"/>
        </w:rPr>
        <w:t xml:space="preserve">, a hypoxia-inducible factor prolyl hydroxylase inhibitor, in chronic kidney disease-associated </w:t>
      </w:r>
      <w:proofErr w:type="spellStart"/>
      <w:r w:rsidR="004E390B" w:rsidRPr="00114C49">
        <w:rPr>
          <w:rFonts w:ascii="Arial" w:eastAsia="Times New Roman" w:hAnsi="Arial" w:cs="Arial"/>
          <w:sz w:val="14"/>
          <w:szCs w:val="14"/>
          <w:lang w:val="en-GB" w:eastAsia="en-GB"/>
        </w:rPr>
        <w:t>anemia</w:t>
      </w:r>
      <w:proofErr w:type="spellEnd"/>
      <w:r w:rsidR="004E390B" w:rsidRPr="00114C49">
        <w:rPr>
          <w:rFonts w:ascii="Arial" w:eastAsia="Times New Roman" w:hAnsi="Arial" w:cs="Arial"/>
          <w:sz w:val="14"/>
          <w:szCs w:val="14"/>
          <w:lang w:val="en-GB" w:eastAsia="en-GB"/>
        </w:rPr>
        <w:t xml:space="preserve"> in cats.</w:t>
      </w:r>
      <w:proofErr w:type="gramEnd"/>
      <w:r w:rsidR="004E390B" w:rsidRPr="00114C49">
        <w:rPr>
          <w:rFonts w:ascii="Arial" w:eastAsia="Times New Roman" w:hAnsi="Arial" w:cs="Arial"/>
          <w:sz w:val="14"/>
          <w:szCs w:val="14"/>
          <w:lang w:val="en-GB" w:eastAsia="en-GB"/>
        </w:rPr>
        <w:t xml:space="preserve"> </w:t>
      </w:r>
      <w:r w:rsidR="004E390B" w:rsidRPr="00114C49">
        <w:rPr>
          <w:rFonts w:ascii="Arial" w:eastAsia="Times New Roman" w:hAnsi="Arial" w:cs="Arial"/>
          <w:sz w:val="14"/>
          <w:szCs w:val="14"/>
          <w:lang w:val="es-ES" w:eastAsia="en-GB"/>
        </w:rPr>
        <w:t xml:space="preserve">J Vet </w:t>
      </w:r>
      <w:proofErr w:type="spellStart"/>
      <w:r w:rsidR="004E390B" w:rsidRPr="00114C49">
        <w:rPr>
          <w:rFonts w:ascii="Arial" w:eastAsia="Times New Roman" w:hAnsi="Arial" w:cs="Arial"/>
          <w:sz w:val="14"/>
          <w:szCs w:val="14"/>
          <w:lang w:val="es-ES" w:eastAsia="en-GB"/>
        </w:rPr>
        <w:t>Intern</w:t>
      </w:r>
      <w:proofErr w:type="spellEnd"/>
      <w:r w:rsidR="004E390B" w:rsidRPr="00114C49">
        <w:rPr>
          <w:rFonts w:ascii="Arial" w:eastAsia="Times New Roman" w:hAnsi="Arial" w:cs="Arial"/>
          <w:sz w:val="14"/>
          <w:szCs w:val="14"/>
          <w:lang w:val="es-ES" w:eastAsia="en-GB"/>
        </w:rPr>
        <w:t xml:space="preserve"> Med. 2023 </w:t>
      </w:r>
      <w:proofErr w:type="spellStart"/>
      <w:r w:rsidR="004E390B" w:rsidRPr="00114C49">
        <w:rPr>
          <w:rFonts w:ascii="Arial" w:eastAsia="Times New Roman" w:hAnsi="Arial" w:cs="Arial"/>
          <w:sz w:val="14"/>
          <w:szCs w:val="14"/>
          <w:lang w:val="es-ES" w:eastAsia="en-GB"/>
        </w:rPr>
        <w:t>Sep</w:t>
      </w:r>
      <w:proofErr w:type="spellEnd"/>
      <w:r w:rsidR="004E390B" w:rsidRPr="00114C49">
        <w:rPr>
          <w:rFonts w:ascii="Arial" w:eastAsia="Times New Roman" w:hAnsi="Arial" w:cs="Arial"/>
          <w:sz w:val="14"/>
          <w:szCs w:val="14"/>
          <w:lang w:val="es-ES" w:eastAsia="en-GB"/>
        </w:rPr>
        <w:t xml:space="preserve"> 22;38(1):197–204.</w:t>
      </w:r>
    </w:p>
    <w:p w14:paraId="16B9A2E9" w14:textId="26D6268D" w:rsidR="00A5544E" w:rsidRPr="00114C49" w:rsidRDefault="009E1558" w:rsidP="004E390B">
      <w:pPr>
        <w:spacing w:before="100" w:beforeAutospacing="1" w:after="100" w:afterAutospacing="1" w:line="240" w:lineRule="auto"/>
        <w:contextualSpacing/>
        <w:jc w:val="both"/>
        <w:rPr>
          <w:rFonts w:ascii="Arial" w:hAnsi="Arial" w:cs="Arial"/>
          <w:b/>
          <w:sz w:val="18"/>
          <w:szCs w:val="18"/>
        </w:rPr>
      </w:pPr>
      <w:r w:rsidRPr="00114C49">
        <w:rPr>
          <w:rFonts w:eastAsia="Times New Roman" w:cs="Times New Roman"/>
          <w:sz w:val="14"/>
          <w:szCs w:val="14"/>
          <w:lang w:val="es-ES" w:eastAsia="en-GB"/>
        </w:rPr>
        <w:br/>
      </w:r>
    </w:p>
    <w:p w14:paraId="6FF5C95C" w14:textId="77777777" w:rsidR="004E390B" w:rsidRPr="00114C49" w:rsidRDefault="004E390B">
      <w:pPr>
        <w:rPr>
          <w:rFonts w:ascii="Arial" w:hAnsi="Arial" w:cs="Arial"/>
          <w:b/>
          <w:sz w:val="18"/>
          <w:szCs w:val="18"/>
        </w:rPr>
      </w:pPr>
      <w:r w:rsidRPr="00114C49">
        <w:rPr>
          <w:rFonts w:ascii="Arial" w:hAnsi="Arial" w:cs="Arial"/>
          <w:b/>
          <w:sz w:val="18"/>
          <w:szCs w:val="18"/>
        </w:rPr>
        <w:br w:type="page"/>
      </w:r>
    </w:p>
    <w:p w14:paraId="37E67091" w14:textId="0091AF11" w:rsidR="000E383C" w:rsidRPr="003B7A2E" w:rsidRDefault="000E383C" w:rsidP="004E390B">
      <w:pPr>
        <w:spacing w:before="100" w:beforeAutospacing="1" w:after="100" w:afterAutospacing="1" w:line="240" w:lineRule="auto"/>
        <w:contextualSpacing/>
        <w:jc w:val="both"/>
        <w:rPr>
          <w:rFonts w:ascii="Arial" w:hAnsi="Arial" w:cs="Arial"/>
          <w:b/>
          <w:sz w:val="18"/>
          <w:szCs w:val="18"/>
        </w:rPr>
      </w:pPr>
      <w:r w:rsidRPr="003B7A2E">
        <w:rPr>
          <w:rFonts w:ascii="Arial" w:hAnsi="Arial" w:cs="Arial"/>
          <w:b/>
          <w:sz w:val="18"/>
          <w:szCs w:val="18"/>
        </w:rPr>
        <w:lastRenderedPageBreak/>
        <w:t>Sobre Elanco</w:t>
      </w:r>
    </w:p>
    <w:p w14:paraId="1E794D95" w14:textId="77777777" w:rsidR="000E383C" w:rsidRPr="003B7A2E" w:rsidRDefault="000E383C" w:rsidP="004E390B">
      <w:pPr>
        <w:spacing w:after="0" w:line="240" w:lineRule="auto"/>
        <w:jc w:val="both"/>
        <w:rPr>
          <w:rFonts w:ascii="Arial" w:hAnsi="Arial" w:cs="Arial"/>
          <w:b/>
          <w:i/>
          <w:sz w:val="18"/>
          <w:szCs w:val="18"/>
        </w:rPr>
      </w:pPr>
      <w:r w:rsidRPr="003B7A2E">
        <w:rPr>
          <w:rFonts w:ascii="Arial" w:hAnsi="Arial" w:cs="Arial"/>
          <w:b/>
          <w:i/>
          <w:sz w:val="18"/>
          <w:szCs w:val="18"/>
        </w:rPr>
        <w:t>Más de 70 años cuidando de la salud animal</w:t>
      </w:r>
    </w:p>
    <w:p w14:paraId="2EA21DFA" w14:textId="77777777" w:rsidR="000E383C" w:rsidRPr="003B7A2E" w:rsidRDefault="000E383C" w:rsidP="004E390B">
      <w:pPr>
        <w:spacing w:after="0" w:line="240" w:lineRule="auto"/>
        <w:jc w:val="both"/>
        <w:rPr>
          <w:rFonts w:ascii="Arial" w:hAnsi="Arial" w:cs="Arial"/>
          <w:sz w:val="18"/>
          <w:szCs w:val="18"/>
        </w:rPr>
      </w:pPr>
      <w:r w:rsidRPr="003B7A2E">
        <w:rPr>
          <w:rFonts w:ascii="Arial" w:hAnsi="Arial" w:cs="Arial"/>
          <w:sz w:val="18"/>
          <w:szCs w:val="18"/>
        </w:rPr>
        <w:t xml:space="preserve">Elanco Animal Health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3B7A2E">
        <w:rPr>
          <w:rFonts w:ascii="Arial" w:hAnsi="Arial" w:cs="Arial"/>
          <w:sz w:val="18"/>
          <w:szCs w:val="18"/>
        </w:rPr>
        <w:t>Pet</w:t>
      </w:r>
      <w:proofErr w:type="spellEnd"/>
      <w:r w:rsidRPr="003B7A2E">
        <w:rPr>
          <w:rFonts w:ascii="Arial" w:hAnsi="Arial" w:cs="Arial"/>
          <w:sz w:val="18"/>
          <w:szCs w:val="18"/>
        </w:rPr>
        <w:t xml:space="preserve"> Shops, grupos de interés y la sociedad en general. Las iniciativas de Elanco Healthy Purpose™ promueven la salud de los animales, las personas y el planeta, sensibilizando al consumidor sobre la importancia de la seguridad alimentaria mundial y potenciando el vínculo entre las personas y los animales.</w:t>
      </w:r>
    </w:p>
    <w:p w14:paraId="1C64D94A" w14:textId="77777777" w:rsidR="000E383C" w:rsidRPr="003B7A2E" w:rsidRDefault="000E383C" w:rsidP="004E390B">
      <w:pPr>
        <w:spacing w:after="0" w:line="240" w:lineRule="auto"/>
        <w:jc w:val="both"/>
        <w:rPr>
          <w:rFonts w:ascii="Arial" w:hAnsi="Arial" w:cs="Arial"/>
          <w:sz w:val="18"/>
          <w:szCs w:val="18"/>
        </w:rPr>
      </w:pPr>
      <w:r w:rsidRPr="003B7A2E">
        <w:rPr>
          <w:rFonts w:ascii="Arial" w:hAnsi="Arial" w:cs="Arial"/>
          <w:sz w:val="18"/>
          <w:szCs w:val="18"/>
        </w:rPr>
        <w:t xml:space="preserve">Con presencia en </w:t>
      </w:r>
      <w:r w:rsidRPr="003B7A2E">
        <w:rPr>
          <w:rFonts w:ascii="Arial" w:hAnsi="Arial" w:cs="Arial"/>
          <w:b/>
          <w:sz w:val="18"/>
          <w:szCs w:val="18"/>
        </w:rPr>
        <w:t>90 países</w:t>
      </w:r>
      <w:r w:rsidRPr="003B7A2E">
        <w:rPr>
          <w:rFonts w:ascii="Arial" w:hAnsi="Arial" w:cs="Arial"/>
          <w:sz w:val="18"/>
          <w:szCs w:val="18"/>
        </w:rPr>
        <w:t xml:space="preserve"> y unos </w:t>
      </w:r>
      <w:r w:rsidRPr="003B7A2E">
        <w:rPr>
          <w:rFonts w:ascii="Arial" w:hAnsi="Arial" w:cs="Arial"/>
          <w:b/>
          <w:sz w:val="18"/>
          <w:szCs w:val="18"/>
        </w:rPr>
        <w:t>9.000 empleados</w:t>
      </w:r>
      <w:r w:rsidRPr="003B7A2E">
        <w:rPr>
          <w:rFonts w:ascii="Arial" w:hAnsi="Arial" w:cs="Arial"/>
          <w:sz w:val="18"/>
          <w:szCs w:val="18"/>
        </w:rPr>
        <w:t xml:space="preserve"> en todo el mundo, la compañía promueve la innovación, tanto en la investigación científica como en las operaciones cotidianas. Fundada en 1954, Elanco tiene su sede principal en Indianápolis, Indiana (EE.UU.), cuenta con </w:t>
      </w:r>
      <w:r w:rsidRPr="003B7A2E">
        <w:rPr>
          <w:rFonts w:ascii="Arial" w:hAnsi="Arial" w:cs="Arial"/>
          <w:b/>
          <w:sz w:val="18"/>
          <w:szCs w:val="18"/>
        </w:rPr>
        <w:t>18 plantas de fabricación</w:t>
      </w:r>
      <w:r w:rsidRPr="003B7A2E">
        <w:rPr>
          <w:rFonts w:ascii="Arial" w:hAnsi="Arial" w:cs="Arial"/>
          <w:sz w:val="18"/>
          <w:szCs w:val="18"/>
        </w:rPr>
        <w:t xml:space="preserve"> y </w:t>
      </w:r>
      <w:r w:rsidRPr="003B7A2E">
        <w:rPr>
          <w:rFonts w:ascii="Arial" w:hAnsi="Arial" w:cs="Arial"/>
          <w:b/>
          <w:sz w:val="18"/>
          <w:szCs w:val="18"/>
        </w:rPr>
        <w:t>más de 200 marcas</w:t>
      </w:r>
      <w:r w:rsidRPr="003B7A2E">
        <w:rPr>
          <w:rFonts w:ascii="Arial" w:hAnsi="Arial" w:cs="Arial"/>
          <w:sz w:val="18"/>
          <w:szCs w:val="18"/>
        </w:rPr>
        <w:t xml:space="preserve">. Más información en </w:t>
      </w:r>
      <w:hyperlink r:id="rId9">
        <w:r w:rsidRPr="003B7A2E">
          <w:rPr>
            <w:rFonts w:ascii="Arial" w:hAnsi="Arial" w:cs="Arial"/>
            <w:b/>
            <w:color w:val="0563C1"/>
            <w:sz w:val="18"/>
            <w:szCs w:val="18"/>
            <w:u w:val="single"/>
          </w:rPr>
          <w:t>elanco.com</w:t>
        </w:r>
      </w:hyperlink>
    </w:p>
    <w:p w14:paraId="6B45BD5A" w14:textId="528448B7" w:rsidR="00F476BE" w:rsidRPr="004D772E" w:rsidRDefault="00F476BE" w:rsidP="004E390B">
      <w:pPr>
        <w:spacing w:before="100" w:beforeAutospacing="1" w:after="100" w:afterAutospacing="1" w:line="240" w:lineRule="auto"/>
        <w:contextualSpacing/>
        <w:jc w:val="both"/>
        <w:rPr>
          <w:b/>
          <w:sz w:val="20"/>
          <w:szCs w:val="20"/>
        </w:rPr>
      </w:pPr>
    </w:p>
    <w:p w14:paraId="6D7E0FCB" w14:textId="3DDF6469" w:rsidR="00F476BE" w:rsidRPr="00A5544E" w:rsidRDefault="00E04B17" w:rsidP="004E390B">
      <w:pPr>
        <w:spacing w:after="0" w:line="240" w:lineRule="auto"/>
        <w:jc w:val="both"/>
        <w:rPr>
          <w:rFonts w:ascii="Arial" w:hAnsi="Arial" w:cs="Arial"/>
          <w:sz w:val="21"/>
          <w:szCs w:val="21"/>
        </w:rPr>
      </w:pPr>
      <w:r w:rsidRPr="00A5544E">
        <w:rPr>
          <w:rFonts w:ascii="Arial" w:hAnsi="Arial" w:cs="Arial"/>
          <w:b/>
          <w:sz w:val="21"/>
          <w:szCs w:val="21"/>
        </w:rPr>
        <w:t>MATERIALES QUE ACOMPAÑAN LA NOTA DE PRENSA:</w:t>
      </w:r>
    </w:p>
    <w:p w14:paraId="5F153FB9" w14:textId="1F59B866" w:rsidR="0088731F" w:rsidRPr="00A5544E" w:rsidRDefault="0088731F" w:rsidP="004E390B">
      <w:pPr>
        <w:spacing w:line="240" w:lineRule="auto"/>
        <w:rPr>
          <w:rFonts w:ascii="Arial" w:hAnsi="Arial" w:cs="Arial"/>
          <w:b/>
          <w:sz w:val="21"/>
          <w:szCs w:val="21"/>
        </w:rPr>
      </w:pPr>
      <w:r w:rsidRPr="00A5544E">
        <w:rPr>
          <w:rFonts w:ascii="Arial" w:hAnsi="Arial" w:cs="Arial"/>
          <w:b/>
          <w:sz w:val="21"/>
          <w:szCs w:val="21"/>
        </w:rPr>
        <w:t>Logos:</w:t>
      </w:r>
    </w:p>
    <w:tbl>
      <w:tblPr>
        <w:tblStyle w:val="a0"/>
        <w:tblW w:w="53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39"/>
        <w:gridCol w:w="1942"/>
        <w:gridCol w:w="1701"/>
      </w:tblGrid>
      <w:tr w:rsidR="006478B0" w:rsidRPr="004D772E" w14:paraId="02AA7BAF" w14:textId="77777777" w:rsidTr="006478B0">
        <w:trPr>
          <w:trHeight w:val="854"/>
        </w:trPr>
        <w:tc>
          <w:tcPr>
            <w:tcW w:w="1739" w:type="dxa"/>
            <w:vAlign w:val="center"/>
          </w:tcPr>
          <w:p w14:paraId="4D3A7CA4" w14:textId="77777777" w:rsidR="006478B0" w:rsidRPr="004D772E" w:rsidRDefault="006478B0" w:rsidP="004E390B">
            <w:pPr>
              <w:jc w:val="center"/>
              <w:rPr>
                <w:b/>
                <w:sz w:val="24"/>
                <w:szCs w:val="24"/>
              </w:rPr>
            </w:pPr>
            <w:r w:rsidRPr="004D772E">
              <w:rPr>
                <w:b/>
                <w:noProof/>
                <w:sz w:val="24"/>
                <w:szCs w:val="24"/>
                <w:lang w:val="es-ES"/>
              </w:rPr>
              <w:drawing>
                <wp:inline distT="0" distB="0" distL="0" distR="0" wp14:anchorId="61578AF7" wp14:editId="02DE7889">
                  <wp:extent cx="889635" cy="446075"/>
                  <wp:effectExtent l="0" t="0" r="0" b="11430"/>
                  <wp:docPr id="25"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0"/>
                          <a:srcRect/>
                          <a:stretch>
                            <a:fillRect/>
                          </a:stretch>
                        </pic:blipFill>
                        <pic:spPr>
                          <a:xfrm>
                            <a:off x="0" y="0"/>
                            <a:ext cx="889940" cy="446228"/>
                          </a:xfrm>
                          <a:prstGeom prst="rect">
                            <a:avLst/>
                          </a:prstGeom>
                          <a:ln/>
                        </pic:spPr>
                      </pic:pic>
                    </a:graphicData>
                  </a:graphic>
                </wp:inline>
              </w:drawing>
            </w:r>
          </w:p>
        </w:tc>
        <w:tc>
          <w:tcPr>
            <w:tcW w:w="1942" w:type="dxa"/>
          </w:tcPr>
          <w:p w14:paraId="71E1A4C4" w14:textId="2C78C3EB" w:rsidR="006478B0" w:rsidRPr="004D772E" w:rsidRDefault="006478B0" w:rsidP="004E390B">
            <w:pPr>
              <w:jc w:val="center"/>
              <w:rPr>
                <w:b/>
                <w:noProof/>
                <w:sz w:val="24"/>
                <w:szCs w:val="24"/>
                <w:lang w:val="es-ES"/>
              </w:rPr>
            </w:pPr>
            <w:r w:rsidRPr="004D772E">
              <w:rPr>
                <w:b/>
                <w:noProof/>
                <w:sz w:val="24"/>
                <w:szCs w:val="24"/>
                <w:lang w:val="es-ES"/>
              </w:rPr>
              <w:drawing>
                <wp:inline distT="0" distB="0" distL="0" distR="0" wp14:anchorId="3000D03C" wp14:editId="2A415AAD">
                  <wp:extent cx="1083736" cy="338667"/>
                  <wp:effectExtent l="0" t="0" r="889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085076" cy="339086"/>
                          </a:xfrm>
                          <a:prstGeom prst="rect">
                            <a:avLst/>
                          </a:prstGeom>
                          <a:ln/>
                        </pic:spPr>
                      </pic:pic>
                    </a:graphicData>
                  </a:graphic>
                </wp:inline>
              </w:drawing>
            </w:r>
          </w:p>
        </w:tc>
        <w:tc>
          <w:tcPr>
            <w:tcW w:w="1701" w:type="dxa"/>
            <w:vAlign w:val="center"/>
          </w:tcPr>
          <w:p w14:paraId="57CC70A6" w14:textId="49104AD4" w:rsidR="006478B0" w:rsidRPr="004D772E" w:rsidRDefault="006478B0" w:rsidP="004E390B">
            <w:pPr>
              <w:jc w:val="center"/>
              <w:rPr>
                <w:b/>
                <w:noProof/>
                <w:sz w:val="24"/>
                <w:szCs w:val="24"/>
                <w:lang w:val="es-ES"/>
              </w:rPr>
            </w:pPr>
            <w:r w:rsidRPr="004D772E">
              <w:rPr>
                <w:b/>
                <w:noProof/>
                <w:sz w:val="24"/>
                <w:szCs w:val="24"/>
                <w:lang w:val="es-ES"/>
              </w:rPr>
              <w:drawing>
                <wp:inline distT="0" distB="0" distL="0" distR="0" wp14:anchorId="11138C8C" wp14:editId="36038F0E">
                  <wp:extent cx="1003300" cy="546100"/>
                  <wp:effectExtent l="0" t="0" r="12700" b="12700"/>
                  <wp:docPr id="5" name="Imagen 5" descr="Macintosh HD:Users:ValeriaTorno:Desktop:CLIENTES:ULLED:ELANCO:LOGOS ELANCO:Logos eXpertos:ES_Logos eXpertos:Nuevos logos 2025:ES_logo-eXpertos-Elanco-Medicina-Fe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LOGOS ELANCO:Logos eXpertos:ES_Logos eXpertos:Nuevos logos 2025:ES_logo-eXpertos-Elanco-Medicina-Felin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286" b="8929"/>
                          <a:stretch/>
                        </pic:blipFill>
                        <pic:spPr bwMode="auto">
                          <a:xfrm>
                            <a:off x="0" y="0"/>
                            <a:ext cx="1003300" cy="546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90561C" w14:textId="29B4A969" w:rsidR="0088731F" w:rsidRPr="00A5544E" w:rsidRDefault="0058416A" w:rsidP="004E390B">
      <w:pPr>
        <w:spacing w:line="240" w:lineRule="auto"/>
        <w:rPr>
          <w:rFonts w:ascii="Arial" w:hAnsi="Arial" w:cs="Arial"/>
          <w:b/>
          <w:sz w:val="21"/>
          <w:szCs w:val="21"/>
        </w:rPr>
      </w:pPr>
      <w:r w:rsidRPr="004D772E">
        <w:rPr>
          <w:b/>
          <w:sz w:val="21"/>
          <w:szCs w:val="21"/>
        </w:rPr>
        <w:br/>
      </w:r>
      <w:r w:rsidR="00E04B17" w:rsidRPr="00A5544E">
        <w:rPr>
          <w:rFonts w:ascii="Arial" w:hAnsi="Arial" w:cs="Arial"/>
          <w:b/>
          <w:sz w:val="21"/>
          <w:szCs w:val="21"/>
        </w:rPr>
        <w:t xml:space="preserve">Imágenes </w:t>
      </w:r>
      <w:r w:rsidR="0088731F" w:rsidRPr="00A5544E">
        <w:rPr>
          <w:rFonts w:ascii="Arial" w:hAnsi="Arial" w:cs="Arial"/>
          <w:b/>
          <w:sz w:val="21"/>
          <w:szCs w:val="21"/>
        </w:rPr>
        <w:t xml:space="preserve">y vídeos </w:t>
      </w:r>
      <w:r w:rsidR="00E04B17" w:rsidRPr="00A5544E">
        <w:rPr>
          <w:rFonts w:ascii="Arial" w:hAnsi="Arial" w:cs="Arial"/>
          <w:b/>
          <w:sz w:val="21"/>
          <w:szCs w:val="21"/>
        </w:rPr>
        <w:t>de recurso</w:t>
      </w:r>
    </w:p>
    <w:tbl>
      <w:tblPr>
        <w:tblStyle w:val="Tablaconcuadrcula"/>
        <w:tblW w:w="0" w:type="auto"/>
        <w:tblLayout w:type="fixed"/>
        <w:tblLook w:val="04A0" w:firstRow="1" w:lastRow="0" w:firstColumn="1" w:lastColumn="0" w:noHBand="0" w:noVBand="1"/>
      </w:tblPr>
      <w:tblGrid>
        <w:gridCol w:w="4503"/>
        <w:gridCol w:w="3827"/>
      </w:tblGrid>
      <w:tr w:rsidR="001D5661" w14:paraId="3F0E6866" w14:textId="77777777" w:rsidTr="001D5661">
        <w:tc>
          <w:tcPr>
            <w:tcW w:w="4503" w:type="dxa"/>
            <w:vAlign w:val="center"/>
          </w:tcPr>
          <w:p w14:paraId="7F0D5727" w14:textId="2C464626" w:rsidR="001D5661" w:rsidRDefault="001D5661" w:rsidP="001D5661">
            <w:pPr>
              <w:jc w:val="center"/>
              <w:rPr>
                <w:b/>
                <w:sz w:val="24"/>
                <w:szCs w:val="24"/>
              </w:rPr>
            </w:pPr>
            <w:r>
              <w:rPr>
                <w:b/>
                <w:noProof/>
                <w:sz w:val="24"/>
                <w:szCs w:val="24"/>
                <w:lang w:val="es-ES"/>
              </w:rPr>
              <w:drawing>
                <wp:inline distT="0" distB="0" distL="0" distR="0" wp14:anchorId="1EFDF79F" wp14:editId="42953FD5">
                  <wp:extent cx="2446419" cy="3467740"/>
                  <wp:effectExtent l="0" t="0" r="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4-27 a las 14.20.17.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47332" cy="34690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14:paraId="1F3392D2" w14:textId="6AFCBF5F" w:rsidR="001D5661" w:rsidRDefault="001D5661" w:rsidP="001D5661">
            <w:pPr>
              <w:jc w:val="center"/>
              <w:rPr>
                <w:b/>
                <w:noProof/>
                <w:sz w:val="24"/>
                <w:szCs w:val="24"/>
                <w:lang w:val="es-ES"/>
              </w:rPr>
            </w:pPr>
            <w:r>
              <w:rPr>
                <w:b/>
                <w:noProof/>
                <w:sz w:val="24"/>
                <w:szCs w:val="24"/>
                <w:lang w:val="es-ES"/>
              </w:rPr>
              <w:drawing>
                <wp:inline distT="0" distB="0" distL="0" distR="0" wp14:anchorId="7D4691D9" wp14:editId="1756393B">
                  <wp:extent cx="1917389" cy="2153497"/>
                  <wp:effectExtent l="0" t="0" r="0" b="5715"/>
                  <wp:docPr id="2" name="Imagen 2" descr="Macintosh HD:Users:ValeriaTorno:Desktop:Captura de pantalla 2026-04-27 a las 14.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4-27 a las 14.20.1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19" t="6506" r="8255" b="7724"/>
                          <a:stretch/>
                        </pic:blipFill>
                        <pic:spPr bwMode="auto">
                          <a:xfrm>
                            <a:off x="0" y="0"/>
                            <a:ext cx="1919016" cy="2155324"/>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bl>
    <w:p w14:paraId="413580BD" w14:textId="4642BD4B" w:rsidR="000C5CBF" w:rsidRDefault="004E390B" w:rsidP="004E390B">
      <w:pPr>
        <w:spacing w:line="240" w:lineRule="auto"/>
        <w:rPr>
          <w:rFonts w:ascii="Arial" w:hAnsi="Arial" w:cs="Arial"/>
          <w:sz w:val="20"/>
          <w:szCs w:val="20"/>
        </w:rPr>
      </w:pPr>
      <w:r>
        <w:rPr>
          <w:rFonts w:ascii="Arial" w:hAnsi="Arial" w:cs="Arial"/>
          <w:sz w:val="20"/>
          <w:szCs w:val="20"/>
        </w:rPr>
        <w:br/>
      </w:r>
      <w:r w:rsidRPr="004E390B">
        <w:rPr>
          <w:rFonts w:ascii="Arial" w:hAnsi="Arial" w:cs="Arial"/>
          <w:sz w:val="20"/>
          <w:szCs w:val="20"/>
        </w:rPr>
        <w:t>Ficha técnica:</w:t>
      </w:r>
    </w:p>
    <w:p w14:paraId="0AD30398" w14:textId="7D03C843" w:rsidR="006478B0" w:rsidRPr="004E390B" w:rsidRDefault="006478B0" w:rsidP="004E390B">
      <w:pPr>
        <w:spacing w:line="240" w:lineRule="auto"/>
        <w:rPr>
          <w:rFonts w:ascii="Arial" w:hAnsi="Arial" w:cs="Arial"/>
          <w:sz w:val="20"/>
          <w:szCs w:val="20"/>
        </w:rPr>
      </w:pPr>
      <w:r>
        <w:rPr>
          <w:rFonts w:ascii="Arial" w:hAnsi="Arial" w:cs="Arial"/>
          <w:noProof/>
          <w:sz w:val="20"/>
          <w:szCs w:val="20"/>
          <w:lang w:val="es-ES"/>
        </w:rPr>
        <w:drawing>
          <wp:inline distT="0" distB="0" distL="0" distR="0" wp14:anchorId="3F256131" wp14:editId="720AD9F8">
            <wp:extent cx="910590" cy="870296"/>
            <wp:effectExtent l="0" t="0" r="3810" b="0"/>
            <wp:docPr id="8" name="Imagen 8" descr="Macintosh HD:Users:ValeriaTorno:Desktop:CLIENTES EN CURSO:ULLED:ELANCO:OFICINA DE PRENSA:NOTAS DE PRENSA:LANZAMIENTO VARENZIN:Imágenes de recurso:QR Varen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LIENTES EN CURSO:ULLED:ELANCO:OFICINA DE PRENSA:NOTAS DE PRENSA:LANZAMIENTO VARENZIN:Imágenes de recurso:QR Varenzi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516"/>
                    <a:stretch/>
                  </pic:blipFill>
                  <pic:spPr bwMode="auto">
                    <a:xfrm>
                      <a:off x="0" y="0"/>
                      <a:ext cx="911085" cy="870769"/>
                    </a:xfrm>
                    <a:prstGeom prst="rect">
                      <a:avLst/>
                    </a:prstGeom>
                    <a:noFill/>
                    <a:ln>
                      <a:noFill/>
                    </a:ln>
                    <a:extLst>
                      <a:ext uri="{53640926-AAD7-44d8-BBD7-CCE9431645EC}">
                        <a14:shadowObscured xmlns:a14="http://schemas.microsoft.com/office/drawing/2010/main"/>
                      </a:ext>
                    </a:extLst>
                  </pic:spPr>
                </pic:pic>
              </a:graphicData>
            </a:graphic>
          </wp:inline>
        </w:drawing>
      </w:r>
    </w:p>
    <w:p w14:paraId="1486F7C4" w14:textId="77777777" w:rsidR="004E390B" w:rsidRPr="004E390B" w:rsidRDefault="004E390B" w:rsidP="004E390B">
      <w:pPr>
        <w:spacing w:line="240" w:lineRule="auto"/>
        <w:rPr>
          <w:rFonts w:ascii="Arial" w:hAnsi="Arial" w:cs="Arial"/>
          <w:sz w:val="20"/>
          <w:szCs w:val="20"/>
        </w:rPr>
      </w:pPr>
    </w:p>
    <w:sectPr w:rsidR="004E390B" w:rsidRPr="004E390B">
      <w:headerReference w:type="default" r:id="rId16"/>
      <w:footerReference w:type="even" r:id="rId17"/>
      <w:footerReference w:type="default" r:id="rId18"/>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33F32" w14:textId="77777777" w:rsidR="008F3081" w:rsidRDefault="008F3081">
      <w:pPr>
        <w:spacing w:after="0" w:line="240" w:lineRule="auto"/>
      </w:pPr>
      <w:r>
        <w:separator/>
      </w:r>
    </w:p>
  </w:endnote>
  <w:endnote w:type="continuationSeparator" w:id="0">
    <w:p w14:paraId="1432949E" w14:textId="77777777" w:rsidR="008F3081" w:rsidRDefault="008F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Font Black">
    <w:panose1 w:val="00000A00000000000000"/>
    <w:charset w:val="00"/>
    <w:family w:val="auto"/>
    <w:pitch w:val="variable"/>
    <w:sig w:usb0="2000028F" w:usb1="00000003" w:usb2="00000000" w:usb3="00000000" w:csb0="0000019F"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DCC0" w14:textId="77777777" w:rsidR="005956C3" w:rsidRDefault="005956C3" w:rsidP="000E38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F2577D5" w14:textId="77777777" w:rsidR="005956C3" w:rsidRDefault="005956C3" w:rsidP="0075361C">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5956C3" w:rsidRDefault="005956C3" w:rsidP="0075361C">
    <w:pPr>
      <w:widowControl w:val="0"/>
      <w:spacing w:after="0" w:line="240" w:lineRule="auto"/>
      <w:ind w:right="360"/>
      <w:rPr>
        <w:b/>
        <w:color w:val="000000"/>
        <w:sz w:val="18"/>
        <w:szCs w:val="18"/>
      </w:rPr>
    </w:pPr>
  </w:p>
  <w:p w14:paraId="51809008" w14:textId="39B1BE85" w:rsidR="005956C3" w:rsidRDefault="005956C3">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2B97C21C" w14:textId="77777777" w:rsidR="005956C3" w:rsidRPr="000804D1" w:rsidRDefault="005956C3" w:rsidP="0075361C">
    <w:pPr>
      <w:widowControl w:val="0"/>
      <w:spacing w:line="240" w:lineRule="auto"/>
      <w:rPr>
        <w:rFonts w:ascii="Arial" w:hAnsi="Arial" w:cs="Arial"/>
        <w:b/>
        <w:color w:val="000000"/>
        <w:sz w:val="16"/>
        <w:szCs w:val="16"/>
      </w:rPr>
    </w:pPr>
    <w:bookmarkStart w:id="1" w:name="_heading=h.2covsdm42ml5" w:colFirst="0" w:colLast="0"/>
    <w:bookmarkEnd w:id="1"/>
    <w:r w:rsidRPr="000804D1">
      <w:rPr>
        <w:rFonts w:ascii="Arial" w:hAnsi="Arial" w:cs="Arial"/>
        <w:color w:val="000000"/>
        <w:sz w:val="16"/>
        <w:szCs w:val="16"/>
      </w:rPr>
      <w:t xml:space="preserve">Para </w:t>
    </w:r>
    <w:r w:rsidRPr="000804D1">
      <w:rPr>
        <w:rFonts w:ascii="Arial" w:hAnsi="Arial" w:cs="Arial"/>
        <w:b/>
        <w:color w:val="000000"/>
        <w:sz w:val="16"/>
        <w:szCs w:val="16"/>
      </w:rPr>
      <w:t>más información</w:t>
    </w:r>
    <w:r w:rsidRPr="000804D1">
      <w:rPr>
        <w:rFonts w:ascii="Arial" w:hAnsi="Arial" w:cs="Arial"/>
        <w:color w:val="000000"/>
        <w:sz w:val="16"/>
        <w:szCs w:val="16"/>
      </w:rPr>
      <w:t xml:space="preserve"> contacta con:  </w:t>
    </w:r>
    <w:r w:rsidRPr="000804D1">
      <w:rPr>
        <w:rFonts w:ascii="Arial" w:hAnsi="Arial" w:cs="Arial"/>
        <w:b/>
        <w:color w:val="000000"/>
        <w:sz w:val="16"/>
        <w:szCs w:val="16"/>
      </w:rPr>
      <w:t xml:space="preserve">ULLED – Valeria Torno  </w:t>
    </w:r>
    <w:r w:rsidRPr="000804D1">
      <w:rPr>
        <w:rFonts w:ascii="Arial" w:hAnsi="Arial" w:cs="Arial"/>
        <w:color w:val="000000"/>
        <w:sz w:val="16"/>
        <w:szCs w:val="16"/>
      </w:rPr>
      <w:t>I</w:t>
    </w:r>
    <w:r w:rsidRPr="000804D1">
      <w:rPr>
        <w:rFonts w:ascii="Arial" w:hAnsi="Arial" w:cs="Arial"/>
        <w:b/>
        <w:color w:val="000000"/>
        <w:sz w:val="16"/>
        <w:szCs w:val="16"/>
      </w:rPr>
      <w:t xml:space="preserve">  </w:t>
    </w:r>
    <w:hyperlink r:id="rId1">
      <w:r w:rsidRPr="000804D1">
        <w:rPr>
          <w:rFonts w:ascii="Arial" w:hAnsi="Arial" w:cs="Arial"/>
          <w:color w:val="0563C1"/>
          <w:sz w:val="16"/>
          <w:szCs w:val="16"/>
          <w:u w:val="single"/>
        </w:rPr>
        <w:t>vtorno@ulled.com</w:t>
      </w:r>
    </w:hyperlink>
    <w:r w:rsidRPr="000804D1">
      <w:rPr>
        <w:rFonts w:ascii="Arial" w:hAnsi="Arial" w:cs="Arial"/>
        <w:color w:val="000000"/>
        <w:sz w:val="16"/>
        <w:szCs w:val="16"/>
      </w:rPr>
      <w:t xml:space="preserve">  I  +34 669 927 786</w:t>
    </w:r>
  </w:p>
  <w:p w14:paraId="5EB759E2" w14:textId="77777777" w:rsidR="005956C3" w:rsidRPr="0075361C" w:rsidRDefault="005956C3" w:rsidP="0075361C">
    <w:pPr>
      <w:pStyle w:val="Piedepgina"/>
      <w:framePr w:wrap="around" w:vAnchor="text" w:hAnchor="page" w:x="11242" w:y="317"/>
      <w:rPr>
        <w:rStyle w:val="Nmerodepgina"/>
        <w:sz w:val="18"/>
        <w:szCs w:val="18"/>
      </w:rPr>
    </w:pPr>
    <w:r w:rsidRPr="0075361C">
      <w:rPr>
        <w:rStyle w:val="Nmerodepgina"/>
        <w:sz w:val="18"/>
        <w:szCs w:val="18"/>
      </w:rPr>
      <w:fldChar w:fldCharType="begin"/>
    </w:r>
    <w:r w:rsidRPr="0075361C">
      <w:rPr>
        <w:rStyle w:val="Nmerodepgina"/>
        <w:sz w:val="18"/>
        <w:szCs w:val="18"/>
      </w:rPr>
      <w:instrText xml:space="preserve">PAGE  </w:instrText>
    </w:r>
    <w:r w:rsidRPr="0075361C">
      <w:rPr>
        <w:rStyle w:val="Nmerodepgina"/>
        <w:sz w:val="18"/>
        <w:szCs w:val="18"/>
      </w:rPr>
      <w:fldChar w:fldCharType="separate"/>
    </w:r>
    <w:r w:rsidR="001D5661">
      <w:rPr>
        <w:rStyle w:val="Nmerodepgina"/>
        <w:noProof/>
        <w:sz w:val="18"/>
        <w:szCs w:val="18"/>
      </w:rPr>
      <w:t>3</w:t>
    </w:r>
    <w:r w:rsidRPr="0075361C">
      <w:rPr>
        <w:rStyle w:val="Nmerodepgina"/>
        <w:sz w:val="18"/>
        <w:szCs w:val="18"/>
      </w:rPr>
      <w:fldChar w:fldCharType="end"/>
    </w:r>
  </w:p>
  <w:p w14:paraId="1F2CF3F6" w14:textId="62BA38CF" w:rsidR="005956C3" w:rsidRPr="000804D1" w:rsidRDefault="005956C3" w:rsidP="0075361C">
    <w:pPr>
      <w:widowControl w:val="0"/>
      <w:spacing w:line="240" w:lineRule="auto"/>
      <w:rPr>
        <w:rFonts w:ascii="Arial" w:hAnsi="Arial" w:cs="Arial"/>
        <w:b/>
        <w:color w:val="000000"/>
        <w:sz w:val="14"/>
        <w:szCs w:val="14"/>
      </w:rPr>
    </w:pPr>
    <w:proofErr w:type="spellStart"/>
    <w:r>
      <w:rPr>
        <w:rFonts w:ascii="Arial" w:hAnsi="Arial" w:cs="Arial"/>
        <w:color w:val="000000" w:themeColor="text1"/>
        <w:sz w:val="14"/>
        <w:szCs w:val="14"/>
      </w:rPr>
      <w:t>Varenzin</w:t>
    </w:r>
    <w:proofErr w:type="spellEnd"/>
    <w:r w:rsidRPr="000804D1">
      <w:rPr>
        <w:rFonts w:ascii="Arial" w:hAnsi="Arial" w:cs="Arial"/>
        <w:color w:val="000000" w:themeColor="text1"/>
        <w:sz w:val="14"/>
        <w:szCs w:val="14"/>
      </w:rPr>
      <w:t xml:space="preserve">, Elanco y la barra diagonal son marcas registradas de Elanco o sus filiales. ©2026 Elanco o sus </w:t>
    </w:r>
    <w:r w:rsidRPr="00F70F0F">
      <w:rPr>
        <w:rFonts w:ascii="Arial" w:hAnsi="Arial" w:cs="Arial"/>
        <w:color w:val="000000" w:themeColor="text1"/>
        <w:sz w:val="14"/>
        <w:szCs w:val="14"/>
      </w:rPr>
      <w:t>filiales. PM-ES-2</w:t>
    </w:r>
    <w:r w:rsidR="00F70F0F" w:rsidRPr="00F70F0F">
      <w:rPr>
        <w:rFonts w:ascii="Arial" w:hAnsi="Arial" w:cs="Arial"/>
        <w:color w:val="000000" w:themeColor="text1"/>
        <w:sz w:val="14"/>
        <w:szCs w:val="14"/>
      </w:rPr>
      <w:t>6</w:t>
    </w:r>
    <w:r w:rsidR="00F70F0F">
      <w:rPr>
        <w:rFonts w:ascii="Arial" w:hAnsi="Arial" w:cs="Arial"/>
        <w:color w:val="000000" w:themeColor="text1"/>
        <w:sz w:val="14"/>
        <w:szCs w:val="14"/>
      </w:rPr>
      <w:t>-0280</w:t>
    </w:r>
    <w:r w:rsidRPr="000804D1">
      <w:rPr>
        <w:rFonts w:ascii="Arial" w:hAnsi="Arial" w:cs="Arial"/>
        <w:color w:val="000000" w:themeColor="text1"/>
        <w:sz w:val="14"/>
        <w:szCs w:val="14"/>
      </w:rPr>
      <w:b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71735" w14:textId="77777777" w:rsidR="008F3081" w:rsidRDefault="008F3081">
      <w:pPr>
        <w:spacing w:after="0" w:line="240" w:lineRule="auto"/>
      </w:pPr>
      <w:r>
        <w:separator/>
      </w:r>
    </w:p>
  </w:footnote>
  <w:footnote w:type="continuationSeparator" w:id="0">
    <w:p w14:paraId="370B81DA" w14:textId="77777777" w:rsidR="008F3081" w:rsidRDefault="008F308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5956C3" w:rsidRDefault="005956C3">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5956C3" w:rsidRDefault="005956C3">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B511F"/>
    <w:multiLevelType w:val="hybridMultilevel"/>
    <w:tmpl w:val="971ED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15513B"/>
    <w:multiLevelType w:val="hybridMultilevel"/>
    <w:tmpl w:val="F588E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E76638"/>
    <w:multiLevelType w:val="hybridMultilevel"/>
    <w:tmpl w:val="68389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AF0E64"/>
    <w:multiLevelType w:val="hybridMultilevel"/>
    <w:tmpl w:val="8982E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C803EEB"/>
    <w:multiLevelType w:val="hybridMultilevel"/>
    <w:tmpl w:val="BA200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62C40F4"/>
    <w:multiLevelType w:val="hybridMultilevel"/>
    <w:tmpl w:val="3F38D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554B9"/>
    <w:rsid w:val="000804D1"/>
    <w:rsid w:val="000B15DF"/>
    <w:rsid w:val="000C302C"/>
    <w:rsid w:val="000C5A5F"/>
    <w:rsid w:val="000C5CBF"/>
    <w:rsid w:val="000E383C"/>
    <w:rsid w:val="00112653"/>
    <w:rsid w:val="00114C49"/>
    <w:rsid w:val="001562CB"/>
    <w:rsid w:val="00196A62"/>
    <w:rsid w:val="00197D59"/>
    <w:rsid w:val="001A09BE"/>
    <w:rsid w:val="001C4B32"/>
    <w:rsid w:val="001D5661"/>
    <w:rsid w:val="00245581"/>
    <w:rsid w:val="002471FF"/>
    <w:rsid w:val="00285573"/>
    <w:rsid w:val="002C5008"/>
    <w:rsid w:val="003222F4"/>
    <w:rsid w:val="00341F8A"/>
    <w:rsid w:val="003478A7"/>
    <w:rsid w:val="003936FD"/>
    <w:rsid w:val="003A16DE"/>
    <w:rsid w:val="003B0297"/>
    <w:rsid w:val="003F13BB"/>
    <w:rsid w:val="00417BC0"/>
    <w:rsid w:val="00466DF0"/>
    <w:rsid w:val="004931F3"/>
    <w:rsid w:val="004C3C11"/>
    <w:rsid w:val="004D1E15"/>
    <w:rsid w:val="004D72DB"/>
    <w:rsid w:val="004D772E"/>
    <w:rsid w:val="004E390B"/>
    <w:rsid w:val="0051226B"/>
    <w:rsid w:val="00515E7B"/>
    <w:rsid w:val="005455F2"/>
    <w:rsid w:val="00552435"/>
    <w:rsid w:val="00553D5A"/>
    <w:rsid w:val="0058416A"/>
    <w:rsid w:val="005956C3"/>
    <w:rsid w:val="005A3971"/>
    <w:rsid w:val="005F15A4"/>
    <w:rsid w:val="006020AA"/>
    <w:rsid w:val="006478B0"/>
    <w:rsid w:val="006914A3"/>
    <w:rsid w:val="006A0E1B"/>
    <w:rsid w:val="006F1084"/>
    <w:rsid w:val="0070209F"/>
    <w:rsid w:val="00703B52"/>
    <w:rsid w:val="00745C2E"/>
    <w:rsid w:val="00746941"/>
    <w:rsid w:val="0075361C"/>
    <w:rsid w:val="007F537F"/>
    <w:rsid w:val="00832944"/>
    <w:rsid w:val="008750FA"/>
    <w:rsid w:val="0088731F"/>
    <w:rsid w:val="008B6FD7"/>
    <w:rsid w:val="008C3614"/>
    <w:rsid w:val="008D5C6B"/>
    <w:rsid w:val="008E56AE"/>
    <w:rsid w:val="008F3081"/>
    <w:rsid w:val="00946634"/>
    <w:rsid w:val="00974E1D"/>
    <w:rsid w:val="00996B9D"/>
    <w:rsid w:val="009B1A6C"/>
    <w:rsid w:val="009E1558"/>
    <w:rsid w:val="009E2B37"/>
    <w:rsid w:val="009F6C47"/>
    <w:rsid w:val="00A075A4"/>
    <w:rsid w:val="00A10EFA"/>
    <w:rsid w:val="00A24747"/>
    <w:rsid w:val="00A34ACE"/>
    <w:rsid w:val="00A357C0"/>
    <w:rsid w:val="00A46083"/>
    <w:rsid w:val="00A5544E"/>
    <w:rsid w:val="00A84E39"/>
    <w:rsid w:val="00A9507F"/>
    <w:rsid w:val="00AA4F36"/>
    <w:rsid w:val="00AB3021"/>
    <w:rsid w:val="00AB38DC"/>
    <w:rsid w:val="00AE1DC5"/>
    <w:rsid w:val="00AE4639"/>
    <w:rsid w:val="00AE55BB"/>
    <w:rsid w:val="00AF341D"/>
    <w:rsid w:val="00B02A24"/>
    <w:rsid w:val="00B64D92"/>
    <w:rsid w:val="00B67813"/>
    <w:rsid w:val="00B703A0"/>
    <w:rsid w:val="00B74003"/>
    <w:rsid w:val="00BA47BC"/>
    <w:rsid w:val="00BD0E72"/>
    <w:rsid w:val="00C046D2"/>
    <w:rsid w:val="00C2156B"/>
    <w:rsid w:val="00C24D81"/>
    <w:rsid w:val="00C62168"/>
    <w:rsid w:val="00C94DAB"/>
    <w:rsid w:val="00CD1560"/>
    <w:rsid w:val="00D12891"/>
    <w:rsid w:val="00D1564B"/>
    <w:rsid w:val="00D20B4C"/>
    <w:rsid w:val="00D52CFA"/>
    <w:rsid w:val="00D610F3"/>
    <w:rsid w:val="00D752E9"/>
    <w:rsid w:val="00DF4468"/>
    <w:rsid w:val="00E04B17"/>
    <w:rsid w:val="00E14B6B"/>
    <w:rsid w:val="00E61E6D"/>
    <w:rsid w:val="00E90741"/>
    <w:rsid w:val="00EC3C22"/>
    <w:rsid w:val="00ED5919"/>
    <w:rsid w:val="00EF644B"/>
    <w:rsid w:val="00F066FE"/>
    <w:rsid w:val="00F274A1"/>
    <w:rsid w:val="00F475F4"/>
    <w:rsid w:val="00F476BE"/>
    <w:rsid w:val="00F543ED"/>
    <w:rsid w:val="00F70F0F"/>
    <w:rsid w:val="00F969E2"/>
    <w:rsid w:val="00FB1534"/>
    <w:rsid w:val="00FC1FF6"/>
    <w:rsid w:val="00FD085D"/>
    <w:rsid w:val="00FD28C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7536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753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lanco.com/es-latam"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149</TotalTime>
  <Pages>4</Pages>
  <Words>1091</Words>
  <Characters>6005</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36</cp:revision>
  <dcterms:created xsi:type="dcterms:W3CDTF">2026-04-28T07:29:00Z</dcterms:created>
  <dcterms:modified xsi:type="dcterms:W3CDTF">2026-05-13T10:10:00Z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