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27087" w14:textId="4892679C" w:rsidR="00891B41" w:rsidRPr="00F618DA" w:rsidRDefault="00097816">
      <w:pPr>
        <w:pBdr>
          <w:bottom w:val="single" w:sz="6" w:space="1" w:color="auto"/>
        </w:pBdr>
        <w:tabs>
          <w:tab w:val="right" w:pos="9270"/>
        </w:tabs>
        <w:rPr>
          <w:sz w:val="36"/>
          <w:lang w:val="es-ES"/>
        </w:rPr>
      </w:pPr>
      <w:r w:rsidRPr="00F618DA">
        <w:rPr>
          <w:noProof/>
          <w:lang w:val="es-ES"/>
        </w:rPr>
        <w:drawing>
          <wp:inline distT="0" distB="0" distL="0" distR="0" wp14:anchorId="2D0FFD1E" wp14:editId="1582D4DD">
            <wp:extent cx="2095500" cy="84582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b="19542"/>
                    <a:stretch>
                      <a:fillRect/>
                    </a:stretch>
                  </pic:blipFill>
                  <pic:spPr bwMode="auto">
                    <a:xfrm>
                      <a:off x="0" y="0"/>
                      <a:ext cx="2095500" cy="845820"/>
                    </a:xfrm>
                    <a:prstGeom prst="rect">
                      <a:avLst/>
                    </a:prstGeom>
                    <a:noFill/>
                    <a:ln>
                      <a:noFill/>
                    </a:ln>
                  </pic:spPr>
                </pic:pic>
              </a:graphicData>
            </a:graphic>
          </wp:inline>
        </w:drawing>
      </w:r>
      <w:r w:rsidR="002D5E62" w:rsidRPr="00F618DA">
        <w:rPr>
          <w:lang w:val="es-ES"/>
        </w:rPr>
        <w:tab/>
      </w:r>
      <w:r w:rsidR="00EF2A94" w:rsidRPr="00F618DA">
        <w:rPr>
          <w:rFonts w:ascii="Arial" w:hAnsi="Arial" w:cs="Arial"/>
          <w:sz w:val="44"/>
          <w:lang w:val="es-ES"/>
        </w:rPr>
        <w:t>Nota de prensa</w:t>
      </w:r>
    </w:p>
    <w:p w14:paraId="7776A375" w14:textId="02FB321C" w:rsidR="003B1726" w:rsidRPr="00F618DA" w:rsidRDefault="00EF2A94" w:rsidP="003B1726">
      <w:pPr>
        <w:spacing w:line="240" w:lineRule="atLeast"/>
        <w:rPr>
          <w:rFonts w:ascii="Arial" w:eastAsia="MS Mincho" w:hAnsi="Arial" w:cs="Arial"/>
          <w:b/>
          <w:sz w:val="16"/>
          <w:szCs w:val="16"/>
          <w:lang w:val="es-ES" w:eastAsia="ja-JP"/>
        </w:rPr>
      </w:pPr>
      <w:r w:rsidRPr="00F618DA">
        <w:rPr>
          <w:rFonts w:ascii="Arial" w:eastAsia="MS Mincho" w:hAnsi="Arial" w:cs="Arial"/>
          <w:b/>
          <w:sz w:val="16"/>
          <w:szCs w:val="16"/>
          <w:lang w:val="es-ES" w:eastAsia="ja-JP"/>
        </w:rPr>
        <w:t>PARA DIFUSIÓN INMEDIATA</w:t>
      </w:r>
    </w:p>
    <w:p w14:paraId="74DBBF8D" w14:textId="77777777" w:rsidR="00EF2A94" w:rsidRPr="00F618DA" w:rsidRDefault="00EF2A94" w:rsidP="003B1726">
      <w:pPr>
        <w:spacing w:line="240" w:lineRule="atLeast"/>
        <w:rPr>
          <w:rFonts w:ascii="Arial" w:hAnsi="Arial"/>
          <w:sz w:val="22"/>
          <w:lang w:val="es-ES"/>
        </w:rPr>
      </w:pPr>
    </w:p>
    <w:p w14:paraId="477D5044" w14:textId="75F3FC3B" w:rsidR="00CB23E7" w:rsidRDefault="00CB23E7" w:rsidP="00A26A96">
      <w:pPr>
        <w:shd w:val="clear" w:color="auto" w:fill="FFFFFF"/>
        <w:spacing w:before="120" w:after="100" w:afterAutospacing="1"/>
        <w:jc w:val="center"/>
        <w:rPr>
          <w:rFonts w:ascii="Arial" w:hAnsi="Arial"/>
          <w:b/>
          <w:bCs/>
          <w:lang w:val="es-ES"/>
        </w:rPr>
      </w:pPr>
      <w:r w:rsidRPr="00CB23E7">
        <w:rPr>
          <w:rFonts w:ascii="Arial" w:hAnsi="Arial"/>
          <w:b/>
          <w:bCs/>
          <w:lang w:val="es-ES"/>
        </w:rPr>
        <w:t xml:space="preserve">MSD Animal Health España culmina su </w:t>
      </w:r>
      <w:proofErr w:type="spellStart"/>
      <w:r w:rsidRPr="00820DA3">
        <w:rPr>
          <w:rFonts w:ascii="Arial" w:hAnsi="Arial"/>
          <w:b/>
          <w:bCs/>
          <w:i/>
          <w:iCs/>
          <w:lang w:val="es-ES"/>
        </w:rPr>
        <w:t>roadshow</w:t>
      </w:r>
      <w:proofErr w:type="spellEnd"/>
      <w:r w:rsidRPr="00CB23E7">
        <w:rPr>
          <w:rFonts w:ascii="Arial" w:hAnsi="Arial"/>
          <w:b/>
          <w:bCs/>
          <w:lang w:val="es-ES"/>
        </w:rPr>
        <w:t xml:space="preserve"> de </w:t>
      </w:r>
      <w:proofErr w:type="spellStart"/>
      <w:r w:rsidRPr="00CB23E7">
        <w:rPr>
          <w:rFonts w:ascii="Arial" w:hAnsi="Arial"/>
          <w:b/>
          <w:bCs/>
          <w:lang w:val="es-ES"/>
        </w:rPr>
        <w:t>Numelvi</w:t>
      </w:r>
      <w:proofErr w:type="spellEnd"/>
      <w:r w:rsidRPr="00CB23E7">
        <w:rPr>
          <w:rFonts w:ascii="Arial" w:hAnsi="Arial"/>
          <w:b/>
          <w:bCs/>
          <w:lang w:val="es-ES"/>
        </w:rPr>
        <w:t xml:space="preserve"> </w:t>
      </w:r>
      <w:r>
        <w:rPr>
          <w:rFonts w:ascii="Arial" w:hAnsi="Arial"/>
          <w:b/>
          <w:bCs/>
          <w:lang w:val="es-ES"/>
        </w:rPr>
        <w:t>llevando ciencia y evidencia clínica a siete ciudades de España</w:t>
      </w:r>
    </w:p>
    <w:p w14:paraId="36BFD515" w14:textId="77034C87" w:rsidR="0085422D" w:rsidRPr="0085422D" w:rsidRDefault="0085422D" w:rsidP="0085422D">
      <w:pPr>
        <w:spacing w:after="120"/>
        <w:rPr>
          <w:lang w:val="es-ES"/>
        </w:rPr>
      </w:pPr>
      <w:r>
        <w:rPr>
          <w:noProof/>
          <w:lang w:val="es-ES"/>
        </w:rPr>
        <w:drawing>
          <wp:inline distT="0" distB="0" distL="0" distR="0" wp14:anchorId="73B0BA47" wp14:editId="259C44AC">
            <wp:extent cx="5943600" cy="3063240"/>
            <wp:effectExtent l="0" t="0" r="0" b="3810"/>
            <wp:docPr id="6012855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063240"/>
                    </a:xfrm>
                    <a:prstGeom prst="rect">
                      <a:avLst/>
                    </a:prstGeom>
                    <a:noFill/>
                    <a:ln>
                      <a:noFill/>
                    </a:ln>
                  </pic:spPr>
                </pic:pic>
              </a:graphicData>
            </a:graphic>
          </wp:inline>
        </w:drawing>
      </w:r>
    </w:p>
    <w:p w14:paraId="4628D886" w14:textId="785E56CD" w:rsidR="00CB23E7" w:rsidRDefault="00CB23E7" w:rsidP="00CB23E7">
      <w:pPr>
        <w:pStyle w:val="ListParagraph"/>
        <w:numPr>
          <w:ilvl w:val="0"/>
          <w:numId w:val="17"/>
        </w:numPr>
        <w:spacing w:after="120"/>
        <w:ind w:left="714" w:hanging="357"/>
        <w:contextualSpacing w:val="0"/>
        <w:rPr>
          <w:rFonts w:eastAsia="Times New Roman"/>
          <w:lang w:val="es-ES"/>
        </w:rPr>
      </w:pPr>
      <w:r>
        <w:rPr>
          <w:rFonts w:eastAsia="Times New Roman"/>
          <w:lang w:val="es-ES"/>
        </w:rPr>
        <w:t xml:space="preserve">El </w:t>
      </w:r>
      <w:proofErr w:type="spellStart"/>
      <w:r w:rsidRPr="00820DA3">
        <w:rPr>
          <w:rFonts w:eastAsia="Times New Roman"/>
          <w:i/>
          <w:iCs/>
          <w:lang w:val="es-ES"/>
        </w:rPr>
        <w:t>roadshow</w:t>
      </w:r>
      <w:proofErr w:type="spellEnd"/>
      <w:r>
        <w:rPr>
          <w:rFonts w:eastAsia="Times New Roman"/>
          <w:lang w:val="es-ES"/>
        </w:rPr>
        <w:t xml:space="preserve"> </w:t>
      </w:r>
      <w:r w:rsidRPr="00CB23E7">
        <w:rPr>
          <w:rFonts w:eastAsia="Times New Roman"/>
          <w:lang w:val="es-ES"/>
        </w:rPr>
        <w:t xml:space="preserve">recorrió siete ciudades españolas (Mallorca, Málaga, Bilbao, Santiago, Madrid, Barcelona y Tenerife) durante dos meses para compartir actualización científica </w:t>
      </w:r>
      <w:r w:rsidR="00F85EF5">
        <w:rPr>
          <w:rFonts w:eastAsia="Times New Roman"/>
          <w:lang w:val="es-ES"/>
        </w:rPr>
        <w:t xml:space="preserve">y casos clínicos </w:t>
      </w:r>
      <w:r w:rsidRPr="00CB23E7">
        <w:rPr>
          <w:rFonts w:eastAsia="Times New Roman"/>
          <w:lang w:val="es-ES"/>
        </w:rPr>
        <w:t>en dermatología veterinaria.</w:t>
      </w:r>
    </w:p>
    <w:p w14:paraId="6232DC25" w14:textId="2E45EE2E" w:rsidR="00CB23E7" w:rsidRPr="00CB23E7" w:rsidRDefault="00CB23E7" w:rsidP="00CB23E7">
      <w:pPr>
        <w:pStyle w:val="ListParagraph"/>
        <w:numPr>
          <w:ilvl w:val="0"/>
          <w:numId w:val="17"/>
        </w:numPr>
        <w:spacing w:after="120"/>
        <w:ind w:left="714" w:hanging="357"/>
        <w:contextualSpacing w:val="0"/>
        <w:rPr>
          <w:rFonts w:eastAsia="Times New Roman"/>
          <w:lang w:val="es-ES"/>
        </w:rPr>
      </w:pPr>
      <w:r w:rsidRPr="00CB23E7">
        <w:rPr>
          <w:lang w:val="es-ES"/>
        </w:rPr>
        <w:t xml:space="preserve">Más de 350 profesionales asistieron a las 7 sesiones realizadas con el foco puesto en la dermatitis canina, prurito e inflamación en perros y centradas en compartir </w:t>
      </w:r>
      <w:r w:rsidR="003743AB">
        <w:rPr>
          <w:lang w:val="es-ES"/>
        </w:rPr>
        <w:t>experiencias</w:t>
      </w:r>
      <w:r w:rsidRPr="00CB23E7">
        <w:rPr>
          <w:lang w:val="es-ES"/>
        </w:rPr>
        <w:t xml:space="preserve"> práctic</w:t>
      </w:r>
      <w:r w:rsidR="003743AB">
        <w:rPr>
          <w:lang w:val="es-ES"/>
        </w:rPr>
        <w:t>a</w:t>
      </w:r>
      <w:r w:rsidRPr="00CB23E7">
        <w:rPr>
          <w:lang w:val="es-ES"/>
        </w:rPr>
        <w:t>s y casos clínicos por parte de expertos referencia en dermatología veterinaria</w:t>
      </w:r>
      <w:r w:rsidR="00F85EF5">
        <w:rPr>
          <w:lang w:val="es-ES"/>
        </w:rPr>
        <w:t xml:space="preserve"> en España</w:t>
      </w:r>
      <w:r w:rsidRPr="00CB23E7">
        <w:rPr>
          <w:lang w:val="es-ES"/>
        </w:rPr>
        <w:t>.</w:t>
      </w:r>
    </w:p>
    <w:p w14:paraId="71F6AC2C" w14:textId="5013D031" w:rsidR="00CB23E7" w:rsidRPr="00CB23E7" w:rsidRDefault="00CB23E7" w:rsidP="00CB23E7">
      <w:pPr>
        <w:pStyle w:val="ListParagraph"/>
        <w:numPr>
          <w:ilvl w:val="0"/>
          <w:numId w:val="17"/>
        </w:numPr>
        <w:spacing w:after="120"/>
        <w:ind w:left="714" w:hanging="357"/>
        <w:contextualSpacing w:val="0"/>
        <w:rPr>
          <w:rFonts w:eastAsia="Times New Roman"/>
          <w:lang w:val="es-ES"/>
        </w:rPr>
      </w:pPr>
      <w:r w:rsidRPr="00CB23E7">
        <w:rPr>
          <w:lang w:val="es-ES"/>
        </w:rPr>
        <w:t>El programa contó con la participación de líderes de opinión y especialistas como Carlos Vich, Anabel Dalmau, Marcos Fernández, César Yotti y Laura Ordeix, junto con José Ignacio Gutiérrez, Conchita Hernán</w:t>
      </w:r>
      <w:r w:rsidR="00F85EF5">
        <w:rPr>
          <w:lang w:val="es-ES"/>
        </w:rPr>
        <w:t>-</w:t>
      </w:r>
      <w:r w:rsidRPr="00CB23E7">
        <w:rPr>
          <w:lang w:val="es-ES"/>
        </w:rPr>
        <w:t>Pérez, Gustavo Machicote, Sara Peña y Laura Navarro como ponentes de casos de éxito.</w:t>
      </w:r>
    </w:p>
    <w:p w14:paraId="5CE78BAE" w14:textId="3F2F3D88" w:rsidR="00CB23E7" w:rsidRPr="00CB23E7" w:rsidRDefault="00F3346F" w:rsidP="00CB23E7">
      <w:pPr>
        <w:spacing w:before="120" w:after="120" w:line="240" w:lineRule="atLeast"/>
        <w:rPr>
          <w:rFonts w:ascii="Arial" w:hAnsi="Arial" w:cs="Arial"/>
          <w:b/>
          <w:bCs/>
          <w:sz w:val="22"/>
          <w:szCs w:val="22"/>
          <w:lang w:val="es-ES"/>
        </w:rPr>
      </w:pPr>
      <w:r w:rsidRPr="00F3346F">
        <w:rPr>
          <w:rFonts w:ascii="Arial" w:hAnsi="Arial" w:cs="Arial"/>
          <w:b/>
          <w:bCs/>
          <w:sz w:val="22"/>
          <w:szCs w:val="22"/>
          <w:lang w:val="es-ES"/>
        </w:rPr>
        <w:t xml:space="preserve">Madrid, </w:t>
      </w:r>
      <w:r w:rsidR="00CB23E7">
        <w:rPr>
          <w:rFonts w:ascii="Arial" w:hAnsi="Arial" w:cs="Arial"/>
          <w:b/>
          <w:bCs/>
          <w:sz w:val="22"/>
          <w:szCs w:val="22"/>
          <w:lang w:val="es-ES"/>
        </w:rPr>
        <w:t>30</w:t>
      </w:r>
      <w:r w:rsidRPr="00F3346F">
        <w:rPr>
          <w:rFonts w:ascii="Arial" w:hAnsi="Arial" w:cs="Arial"/>
          <w:b/>
          <w:bCs/>
          <w:sz w:val="22"/>
          <w:szCs w:val="22"/>
          <w:lang w:val="es-ES"/>
        </w:rPr>
        <w:t xml:space="preserve"> de </w:t>
      </w:r>
      <w:r w:rsidR="00CB23E7">
        <w:rPr>
          <w:rFonts w:ascii="Arial" w:hAnsi="Arial" w:cs="Arial"/>
          <w:b/>
          <w:bCs/>
          <w:sz w:val="22"/>
          <w:szCs w:val="22"/>
          <w:lang w:val="es-ES"/>
        </w:rPr>
        <w:t>junio</w:t>
      </w:r>
      <w:r w:rsidRPr="00F3346F">
        <w:rPr>
          <w:rFonts w:ascii="Arial" w:hAnsi="Arial" w:cs="Arial"/>
          <w:b/>
          <w:bCs/>
          <w:sz w:val="22"/>
          <w:szCs w:val="22"/>
          <w:lang w:val="es-ES"/>
        </w:rPr>
        <w:t xml:space="preserve"> de 2026 </w:t>
      </w:r>
      <w:r w:rsidR="00CB23E7" w:rsidRPr="00F3346F">
        <w:rPr>
          <w:rFonts w:ascii="Arial" w:hAnsi="Arial" w:cs="Arial"/>
          <w:b/>
          <w:bCs/>
          <w:sz w:val="22"/>
          <w:szCs w:val="22"/>
          <w:lang w:val="es-ES"/>
        </w:rPr>
        <w:t xml:space="preserve">— </w:t>
      </w:r>
      <w:r w:rsidR="00CB23E7" w:rsidRPr="00CB23E7">
        <w:rPr>
          <w:rFonts w:ascii="Arial" w:hAnsi="Arial" w:cs="Arial"/>
          <w:sz w:val="22"/>
          <w:szCs w:val="22"/>
          <w:lang w:val="es-ES"/>
        </w:rPr>
        <w:t>MSD</w:t>
      </w:r>
      <w:r w:rsidR="000C3E5A" w:rsidRPr="000C3E5A">
        <w:rPr>
          <w:rFonts w:ascii="Arial" w:hAnsi="Arial" w:cs="Arial"/>
          <w:sz w:val="22"/>
          <w:szCs w:val="22"/>
          <w:lang w:val="es-ES"/>
        </w:rPr>
        <w:t xml:space="preserve"> Animal Health, una división de Merck &amp; Co., Inc., Rahway, N.J., USA (NYSE: MRK), </w:t>
      </w:r>
      <w:r w:rsidR="00CB23E7" w:rsidRPr="00CB23E7">
        <w:rPr>
          <w:rFonts w:ascii="Arial" w:hAnsi="Arial" w:cs="Arial"/>
          <w:sz w:val="22"/>
          <w:szCs w:val="22"/>
          <w:lang w:val="es-ES"/>
        </w:rPr>
        <w:t xml:space="preserve">ha concluido </w:t>
      </w:r>
      <w:r w:rsidR="00CB23E7">
        <w:rPr>
          <w:rFonts w:ascii="Arial" w:hAnsi="Arial" w:cs="Arial"/>
          <w:sz w:val="22"/>
          <w:szCs w:val="22"/>
          <w:lang w:val="es-ES"/>
        </w:rPr>
        <w:t>su</w:t>
      </w:r>
      <w:r w:rsidR="00CB23E7" w:rsidRPr="00CB23E7">
        <w:rPr>
          <w:rFonts w:ascii="Arial" w:hAnsi="Arial" w:cs="Arial"/>
          <w:sz w:val="22"/>
          <w:szCs w:val="22"/>
          <w:lang w:val="es-ES"/>
        </w:rPr>
        <w:t xml:space="preserve"> </w:t>
      </w:r>
      <w:proofErr w:type="spellStart"/>
      <w:r w:rsidR="00CB23E7" w:rsidRPr="00CB23E7">
        <w:rPr>
          <w:rFonts w:ascii="Arial" w:hAnsi="Arial" w:cs="Arial"/>
          <w:sz w:val="22"/>
          <w:szCs w:val="22"/>
          <w:lang w:val="es-ES"/>
        </w:rPr>
        <w:t>roadshow</w:t>
      </w:r>
      <w:proofErr w:type="spellEnd"/>
      <w:r w:rsidR="00CB23E7" w:rsidRPr="00CB23E7">
        <w:rPr>
          <w:rFonts w:ascii="Arial" w:hAnsi="Arial" w:cs="Arial"/>
          <w:sz w:val="22"/>
          <w:szCs w:val="22"/>
          <w:lang w:val="es-ES"/>
        </w:rPr>
        <w:t xml:space="preserve"> de </w:t>
      </w:r>
      <w:proofErr w:type="spellStart"/>
      <w:r w:rsidR="00CB23E7" w:rsidRPr="00CB23E7">
        <w:rPr>
          <w:rFonts w:ascii="Arial" w:hAnsi="Arial" w:cs="Arial"/>
          <w:sz w:val="22"/>
          <w:szCs w:val="22"/>
          <w:lang w:val="es-ES"/>
        </w:rPr>
        <w:t>Numelvi</w:t>
      </w:r>
      <w:proofErr w:type="spellEnd"/>
      <w:r w:rsidR="00CB23E7" w:rsidRPr="00CB23E7">
        <w:rPr>
          <w:rFonts w:ascii="Arial" w:hAnsi="Arial" w:cs="Arial"/>
          <w:sz w:val="22"/>
          <w:szCs w:val="22"/>
          <w:lang w:val="es-ES"/>
        </w:rPr>
        <w:t xml:space="preserve"> tras celebrar siete encuentros científicos en distintas ciudades de España durante dos meses</w:t>
      </w:r>
      <w:r w:rsidR="00CB23E7">
        <w:rPr>
          <w:rFonts w:ascii="Arial" w:hAnsi="Arial" w:cs="Arial"/>
          <w:sz w:val="22"/>
          <w:szCs w:val="22"/>
          <w:lang w:val="es-ES"/>
        </w:rPr>
        <w:t>. Durante estos encuentros, la empresa logró reunir</w:t>
      </w:r>
      <w:r w:rsidR="00CB23E7" w:rsidRPr="00CB23E7">
        <w:rPr>
          <w:rFonts w:ascii="Arial" w:hAnsi="Arial" w:cs="Arial"/>
          <w:sz w:val="22"/>
          <w:szCs w:val="22"/>
          <w:lang w:val="es-ES"/>
        </w:rPr>
        <w:t xml:space="preserve"> a profesionales de la medicina veterinaria para compartir evidencia científica, experiencia clínica y perspectivas actuales sobre el abordaje de la dermatología veterinaria.</w:t>
      </w:r>
    </w:p>
    <w:p w14:paraId="67E30BFB" w14:textId="77777777" w:rsidR="00CB23E7" w:rsidRDefault="00CB23E7" w:rsidP="00CB23E7">
      <w:pPr>
        <w:spacing w:before="120" w:after="120" w:line="240" w:lineRule="atLeast"/>
        <w:rPr>
          <w:rFonts w:ascii="Arial" w:hAnsi="Arial" w:cs="Arial"/>
          <w:sz w:val="22"/>
          <w:szCs w:val="22"/>
          <w:lang w:val="es-ES"/>
        </w:rPr>
      </w:pPr>
      <w:r w:rsidRPr="00CB23E7">
        <w:rPr>
          <w:rFonts w:ascii="Arial" w:hAnsi="Arial" w:cs="Arial"/>
          <w:sz w:val="22"/>
          <w:szCs w:val="22"/>
          <w:lang w:val="es-ES"/>
        </w:rPr>
        <w:lastRenderedPageBreak/>
        <w:t>Mallorca, Málaga, Bilbao, Santiago, Madrid, Barcelona y Tenerife</w:t>
      </w:r>
      <w:r>
        <w:rPr>
          <w:rFonts w:ascii="Arial" w:hAnsi="Arial" w:cs="Arial"/>
          <w:sz w:val="22"/>
          <w:szCs w:val="22"/>
          <w:lang w:val="es-ES"/>
        </w:rPr>
        <w:t xml:space="preserve"> fueron las siete ciudades en donde MSD Animal Health tuvo la oportunidad de llevar la ciencia y la evidencia clínica de </w:t>
      </w:r>
      <w:proofErr w:type="spellStart"/>
      <w:r>
        <w:rPr>
          <w:rFonts w:ascii="Arial" w:hAnsi="Arial" w:cs="Arial"/>
          <w:sz w:val="22"/>
          <w:szCs w:val="22"/>
          <w:lang w:val="es-ES"/>
        </w:rPr>
        <w:t>Numelvi</w:t>
      </w:r>
      <w:proofErr w:type="spellEnd"/>
      <w:r>
        <w:rPr>
          <w:rFonts w:ascii="Arial" w:hAnsi="Arial" w:cs="Arial"/>
          <w:sz w:val="22"/>
          <w:szCs w:val="22"/>
          <w:lang w:val="es-ES"/>
        </w:rPr>
        <w:t xml:space="preserve"> de la mano </w:t>
      </w:r>
      <w:r w:rsidRPr="00CB23E7">
        <w:rPr>
          <w:rFonts w:ascii="Arial" w:hAnsi="Arial" w:cs="Arial"/>
          <w:sz w:val="22"/>
          <w:szCs w:val="22"/>
          <w:lang w:val="es-ES"/>
        </w:rPr>
        <w:t>de reconocidos líderes de opinión y expertos en dermatología veterinaria como Carlos Vich, Anabel Dalmau, Marcos Fernández, César Yotti y Laura Ordeix</w:t>
      </w:r>
      <w:r>
        <w:rPr>
          <w:rFonts w:ascii="Arial" w:hAnsi="Arial" w:cs="Arial"/>
          <w:sz w:val="22"/>
          <w:szCs w:val="22"/>
          <w:lang w:val="es-ES"/>
        </w:rPr>
        <w:t xml:space="preserve">. </w:t>
      </w:r>
    </w:p>
    <w:p w14:paraId="5E6A3D43" w14:textId="77777777" w:rsidR="003743AB" w:rsidRPr="003743AB" w:rsidRDefault="003743AB" w:rsidP="003743AB">
      <w:pPr>
        <w:spacing w:before="120" w:after="120" w:line="240" w:lineRule="atLeast"/>
        <w:rPr>
          <w:rFonts w:ascii="Arial" w:hAnsi="Arial" w:cs="Arial"/>
          <w:sz w:val="22"/>
          <w:szCs w:val="22"/>
          <w:lang w:val="es-ES"/>
        </w:rPr>
      </w:pPr>
      <w:r w:rsidRPr="003743AB">
        <w:rPr>
          <w:rFonts w:ascii="Arial" w:hAnsi="Arial" w:cs="Arial"/>
          <w:sz w:val="22"/>
          <w:szCs w:val="22"/>
          <w:lang w:val="es-ES"/>
        </w:rPr>
        <w:t>Un punto destacado de los encuentros fue el poder escuchar las experiencias de especialistas clínicos veterinarios como José Ignacio Gutiérrez, Conchita Hernán Pérez, Gustavo Machicote, Sara Peña y Laura Navarro, quienes pudieron presentar numerosos casos de éxito utilizando </w:t>
      </w:r>
      <w:proofErr w:type="spellStart"/>
      <w:r w:rsidRPr="003743AB">
        <w:rPr>
          <w:rFonts w:ascii="Arial" w:hAnsi="Arial" w:cs="Arial"/>
          <w:sz w:val="22"/>
          <w:szCs w:val="22"/>
          <w:lang w:val="es-ES"/>
        </w:rPr>
        <w:t>Numelvi</w:t>
      </w:r>
      <w:proofErr w:type="spellEnd"/>
      <w:r w:rsidRPr="003743AB">
        <w:rPr>
          <w:rFonts w:ascii="Arial" w:hAnsi="Arial" w:cs="Arial"/>
          <w:sz w:val="22"/>
          <w:szCs w:val="22"/>
          <w:lang w:val="es-ES"/>
        </w:rPr>
        <w:t xml:space="preserve"> y aportaron una visión práctica y especializada sobre el manejo de la dermatitis canina de la mano de </w:t>
      </w:r>
      <w:proofErr w:type="spellStart"/>
      <w:r w:rsidRPr="003743AB">
        <w:rPr>
          <w:rFonts w:ascii="Arial" w:hAnsi="Arial" w:cs="Arial"/>
          <w:sz w:val="22"/>
          <w:szCs w:val="22"/>
          <w:lang w:val="es-ES"/>
        </w:rPr>
        <w:t>Numelvi</w:t>
      </w:r>
      <w:proofErr w:type="spellEnd"/>
      <w:r w:rsidRPr="003743AB">
        <w:rPr>
          <w:rFonts w:ascii="Arial" w:hAnsi="Arial" w:cs="Arial"/>
          <w:sz w:val="22"/>
          <w:szCs w:val="22"/>
          <w:lang w:val="es-ES"/>
        </w:rPr>
        <w:t>.</w:t>
      </w:r>
    </w:p>
    <w:p w14:paraId="574AA637" w14:textId="51240A90" w:rsidR="00CB23E7" w:rsidRPr="00CB23E7" w:rsidRDefault="00CB23E7" w:rsidP="00CB23E7">
      <w:pPr>
        <w:spacing w:before="120" w:after="120" w:line="240" w:lineRule="atLeast"/>
        <w:rPr>
          <w:rFonts w:ascii="Arial" w:hAnsi="Arial" w:cs="Arial"/>
          <w:sz w:val="22"/>
          <w:szCs w:val="22"/>
          <w:lang w:val="es-ES"/>
        </w:rPr>
      </w:pPr>
      <w:r w:rsidRPr="00CB23E7">
        <w:rPr>
          <w:rFonts w:ascii="Arial" w:hAnsi="Arial" w:cs="Arial"/>
          <w:sz w:val="22"/>
          <w:szCs w:val="22"/>
          <w:lang w:val="es-ES"/>
        </w:rPr>
        <w:t xml:space="preserve">“Estos encuentros nos han permitido compartir conocimiento científico y </w:t>
      </w:r>
      <w:r w:rsidR="000A38D7">
        <w:rPr>
          <w:rFonts w:ascii="Arial" w:hAnsi="Arial" w:cs="Arial"/>
          <w:sz w:val="22"/>
          <w:szCs w:val="22"/>
          <w:lang w:val="es-ES"/>
        </w:rPr>
        <w:t>evidencias</w:t>
      </w:r>
      <w:r w:rsidRPr="00CB23E7">
        <w:rPr>
          <w:rFonts w:ascii="Arial" w:hAnsi="Arial" w:cs="Arial"/>
          <w:sz w:val="22"/>
          <w:szCs w:val="22"/>
          <w:lang w:val="es-ES"/>
        </w:rPr>
        <w:t xml:space="preserve"> clínica</w:t>
      </w:r>
      <w:r w:rsidR="000A38D7">
        <w:rPr>
          <w:rFonts w:ascii="Arial" w:hAnsi="Arial" w:cs="Arial"/>
          <w:sz w:val="22"/>
          <w:szCs w:val="22"/>
          <w:lang w:val="es-ES"/>
        </w:rPr>
        <w:t>s</w:t>
      </w:r>
      <w:r w:rsidRPr="00CB23E7">
        <w:rPr>
          <w:rFonts w:ascii="Arial" w:hAnsi="Arial" w:cs="Arial"/>
          <w:sz w:val="22"/>
          <w:szCs w:val="22"/>
          <w:lang w:val="es-ES"/>
        </w:rPr>
        <w:t xml:space="preserve"> </w:t>
      </w:r>
      <w:r w:rsidR="000A38D7">
        <w:rPr>
          <w:rFonts w:ascii="Arial" w:hAnsi="Arial" w:cs="Arial"/>
          <w:sz w:val="22"/>
          <w:szCs w:val="22"/>
          <w:lang w:val="es-ES"/>
        </w:rPr>
        <w:t>que permite</w:t>
      </w:r>
      <w:r w:rsidR="00F85EF5">
        <w:rPr>
          <w:rFonts w:ascii="Arial" w:hAnsi="Arial" w:cs="Arial"/>
          <w:sz w:val="22"/>
          <w:szCs w:val="22"/>
          <w:lang w:val="es-ES"/>
        </w:rPr>
        <w:t>n</w:t>
      </w:r>
      <w:r w:rsidR="000A38D7">
        <w:rPr>
          <w:rFonts w:ascii="Arial" w:hAnsi="Arial" w:cs="Arial"/>
          <w:sz w:val="22"/>
          <w:szCs w:val="22"/>
          <w:lang w:val="es-ES"/>
        </w:rPr>
        <w:t xml:space="preserve"> el avance </w:t>
      </w:r>
      <w:r w:rsidRPr="00CB23E7">
        <w:rPr>
          <w:rFonts w:ascii="Arial" w:hAnsi="Arial" w:cs="Arial"/>
          <w:sz w:val="22"/>
          <w:szCs w:val="22"/>
          <w:lang w:val="es-ES"/>
        </w:rPr>
        <w:t>en el abordaje de enfermedades complejas como la dermatitis atópica canina</w:t>
      </w:r>
      <w:r w:rsidR="000A38D7">
        <w:rPr>
          <w:rFonts w:ascii="Arial" w:hAnsi="Arial" w:cs="Arial"/>
          <w:sz w:val="22"/>
          <w:szCs w:val="22"/>
          <w:lang w:val="es-ES"/>
        </w:rPr>
        <w:t xml:space="preserve"> por parte de los veterinarios</w:t>
      </w:r>
      <w:r w:rsidRPr="00CB23E7">
        <w:rPr>
          <w:rFonts w:ascii="Arial" w:hAnsi="Arial" w:cs="Arial"/>
          <w:sz w:val="22"/>
          <w:szCs w:val="22"/>
          <w:lang w:val="es-ES"/>
        </w:rPr>
        <w:t xml:space="preserve">”, </w:t>
      </w:r>
      <w:r>
        <w:rPr>
          <w:rFonts w:ascii="Arial" w:hAnsi="Arial" w:cs="Arial"/>
          <w:sz w:val="22"/>
          <w:szCs w:val="22"/>
          <w:lang w:val="es-ES"/>
        </w:rPr>
        <w:t xml:space="preserve">señaló, Federica Burgio, responsable científica de MSD Animal Health España. “Nos alegra haber podido contar con voces cualificadas y líderes de opinión en dermatología veterinaria, compartiendo </w:t>
      </w:r>
      <w:r w:rsidR="000A38D7">
        <w:rPr>
          <w:rFonts w:ascii="Arial" w:hAnsi="Arial" w:cs="Arial"/>
          <w:sz w:val="22"/>
          <w:szCs w:val="22"/>
          <w:lang w:val="es-ES"/>
        </w:rPr>
        <w:t xml:space="preserve">experiencias y </w:t>
      </w:r>
      <w:r>
        <w:rPr>
          <w:rFonts w:ascii="Arial" w:hAnsi="Arial" w:cs="Arial"/>
          <w:sz w:val="22"/>
          <w:szCs w:val="22"/>
          <w:lang w:val="es-ES"/>
        </w:rPr>
        <w:t xml:space="preserve">casos clínicos donde </w:t>
      </w:r>
      <w:proofErr w:type="spellStart"/>
      <w:r>
        <w:rPr>
          <w:rFonts w:ascii="Arial" w:hAnsi="Arial" w:cs="Arial"/>
          <w:sz w:val="22"/>
          <w:szCs w:val="22"/>
          <w:lang w:val="es-ES"/>
        </w:rPr>
        <w:t>Numelvi</w:t>
      </w:r>
      <w:proofErr w:type="spellEnd"/>
      <w:r>
        <w:rPr>
          <w:rFonts w:ascii="Arial" w:hAnsi="Arial" w:cs="Arial"/>
          <w:sz w:val="22"/>
          <w:szCs w:val="22"/>
          <w:lang w:val="es-ES"/>
        </w:rPr>
        <w:t xml:space="preserve"> ha </w:t>
      </w:r>
      <w:r w:rsidR="00F85EF5">
        <w:rPr>
          <w:rFonts w:ascii="Arial" w:hAnsi="Arial" w:cs="Arial"/>
          <w:sz w:val="22"/>
          <w:szCs w:val="22"/>
          <w:lang w:val="es-ES"/>
        </w:rPr>
        <w:t xml:space="preserve">resultado </w:t>
      </w:r>
      <w:r>
        <w:rPr>
          <w:rFonts w:ascii="Arial" w:hAnsi="Arial" w:cs="Arial"/>
          <w:sz w:val="22"/>
          <w:szCs w:val="22"/>
          <w:lang w:val="es-ES"/>
        </w:rPr>
        <w:t xml:space="preserve">exitoso”, agregó Burgio.  </w:t>
      </w:r>
    </w:p>
    <w:p w14:paraId="65D75F00" w14:textId="351BE36A" w:rsidR="00CB23E7" w:rsidRPr="00CB23E7" w:rsidRDefault="00CB23E7" w:rsidP="00CB23E7">
      <w:pPr>
        <w:spacing w:before="120" w:after="120" w:line="240" w:lineRule="atLeast"/>
        <w:rPr>
          <w:rFonts w:ascii="Arial" w:hAnsi="Arial" w:cs="Arial"/>
          <w:sz w:val="22"/>
          <w:szCs w:val="22"/>
          <w:lang w:val="es-ES"/>
        </w:rPr>
      </w:pPr>
      <w:r w:rsidRPr="00CB23E7">
        <w:rPr>
          <w:rFonts w:ascii="Arial" w:hAnsi="Arial" w:cs="Arial"/>
          <w:sz w:val="22"/>
          <w:szCs w:val="22"/>
          <w:lang w:val="es-ES"/>
        </w:rPr>
        <w:t xml:space="preserve">A lo largo del </w:t>
      </w:r>
      <w:proofErr w:type="spellStart"/>
      <w:r>
        <w:rPr>
          <w:rFonts w:ascii="Arial" w:hAnsi="Arial" w:cs="Arial"/>
          <w:sz w:val="22"/>
          <w:szCs w:val="22"/>
          <w:lang w:val="es-ES"/>
        </w:rPr>
        <w:t>roadshow</w:t>
      </w:r>
      <w:proofErr w:type="spellEnd"/>
      <w:r w:rsidRPr="00CB23E7">
        <w:rPr>
          <w:rFonts w:ascii="Arial" w:hAnsi="Arial" w:cs="Arial"/>
          <w:sz w:val="22"/>
          <w:szCs w:val="22"/>
          <w:lang w:val="es-ES"/>
        </w:rPr>
        <w:t xml:space="preserve">, más de 350 asistentes </w:t>
      </w:r>
      <w:r>
        <w:rPr>
          <w:rFonts w:ascii="Arial" w:hAnsi="Arial" w:cs="Arial"/>
          <w:sz w:val="22"/>
          <w:szCs w:val="22"/>
          <w:lang w:val="es-ES"/>
        </w:rPr>
        <w:t>tuvieron la oportunidad de asistir a estas</w:t>
      </w:r>
      <w:r w:rsidRPr="00CB23E7">
        <w:rPr>
          <w:rFonts w:ascii="Arial" w:hAnsi="Arial" w:cs="Arial"/>
          <w:sz w:val="22"/>
          <w:szCs w:val="22"/>
          <w:lang w:val="es-ES"/>
        </w:rPr>
        <w:t xml:space="preserve"> sesiones centradas en los principales retos del control del picor y la inflamación en perros, así como en tendencias clave de la dermatitis atópica y en casos clínicos aplicados a la práctica diaria, en un formato diseñado para favorecer el intercambio científico y la actualización profesional.</w:t>
      </w:r>
    </w:p>
    <w:p w14:paraId="11C8D857" w14:textId="0EA7A28E" w:rsidR="000A38D7" w:rsidRPr="009247F2" w:rsidRDefault="000A38D7" w:rsidP="00CB23E7">
      <w:pPr>
        <w:spacing w:before="120" w:after="120" w:line="240" w:lineRule="atLeast"/>
        <w:rPr>
          <w:rFonts w:ascii="Arial" w:hAnsi="Arial" w:cs="Arial"/>
          <w:sz w:val="22"/>
          <w:szCs w:val="22"/>
          <w:lang w:val="es-ES"/>
        </w:rPr>
      </w:pPr>
      <w:r w:rsidRPr="000A38D7">
        <w:rPr>
          <w:rFonts w:ascii="Arial" w:hAnsi="Arial" w:cs="Arial"/>
          <w:sz w:val="22"/>
          <w:szCs w:val="22"/>
          <w:lang w:val="es-ES"/>
        </w:rPr>
        <w:t xml:space="preserve">Esta iniciativa forma parte del compromiso de MSD Animal Health con la formación continua, la innovación basada en ciencia y el apoyo a los profesionales veterinarios en áreas terapéuticas de alta relevancia clínica. La compañía trabaja para impulsar soluciones que contribuyan al bienestar </w:t>
      </w:r>
      <w:r>
        <w:rPr>
          <w:rFonts w:ascii="Arial" w:hAnsi="Arial" w:cs="Arial"/>
          <w:sz w:val="22"/>
          <w:szCs w:val="22"/>
          <w:lang w:val="es-ES"/>
        </w:rPr>
        <w:t xml:space="preserve">y la salud </w:t>
      </w:r>
      <w:r w:rsidRPr="000A38D7">
        <w:rPr>
          <w:rFonts w:ascii="Arial" w:hAnsi="Arial" w:cs="Arial"/>
          <w:sz w:val="22"/>
          <w:szCs w:val="22"/>
          <w:lang w:val="es-ES"/>
        </w:rPr>
        <w:t xml:space="preserve">animal y al </w:t>
      </w:r>
      <w:r>
        <w:rPr>
          <w:rFonts w:ascii="Arial" w:hAnsi="Arial" w:cs="Arial"/>
          <w:sz w:val="22"/>
          <w:szCs w:val="22"/>
          <w:lang w:val="es-ES"/>
        </w:rPr>
        <w:t>impulso</w:t>
      </w:r>
      <w:r w:rsidRPr="000A38D7">
        <w:rPr>
          <w:rFonts w:ascii="Arial" w:hAnsi="Arial" w:cs="Arial"/>
          <w:sz w:val="22"/>
          <w:szCs w:val="22"/>
          <w:lang w:val="es-ES"/>
        </w:rPr>
        <w:t xml:space="preserve"> de</w:t>
      </w:r>
      <w:r>
        <w:rPr>
          <w:rFonts w:ascii="Arial" w:hAnsi="Arial" w:cs="Arial"/>
          <w:sz w:val="22"/>
          <w:szCs w:val="22"/>
          <w:lang w:val="es-ES"/>
        </w:rPr>
        <w:t>l cuidado v</w:t>
      </w:r>
      <w:r w:rsidRPr="000A38D7">
        <w:rPr>
          <w:rFonts w:ascii="Arial" w:hAnsi="Arial" w:cs="Arial"/>
          <w:sz w:val="22"/>
          <w:szCs w:val="22"/>
          <w:lang w:val="es-ES"/>
        </w:rPr>
        <w:t>eterinari</w:t>
      </w:r>
      <w:r>
        <w:rPr>
          <w:rFonts w:ascii="Arial" w:hAnsi="Arial" w:cs="Arial"/>
          <w:sz w:val="22"/>
          <w:szCs w:val="22"/>
          <w:lang w:val="es-ES"/>
        </w:rPr>
        <w:t>o</w:t>
      </w:r>
      <w:r w:rsidRPr="000A38D7">
        <w:rPr>
          <w:rFonts w:ascii="Arial" w:hAnsi="Arial" w:cs="Arial"/>
          <w:sz w:val="22"/>
          <w:szCs w:val="22"/>
          <w:lang w:val="es-ES"/>
        </w:rPr>
        <w:t>, reforzando el valor de la prescripción veterinaria</w:t>
      </w:r>
      <w:r>
        <w:rPr>
          <w:rFonts w:ascii="Arial" w:hAnsi="Arial" w:cs="Arial"/>
          <w:sz w:val="22"/>
          <w:szCs w:val="22"/>
          <w:lang w:val="es-ES"/>
        </w:rPr>
        <w:t xml:space="preserve"> y</w:t>
      </w:r>
      <w:r w:rsidRPr="000A38D7">
        <w:rPr>
          <w:rFonts w:ascii="Arial" w:hAnsi="Arial" w:cs="Arial"/>
          <w:sz w:val="22"/>
          <w:szCs w:val="22"/>
          <w:lang w:val="es-ES"/>
        </w:rPr>
        <w:t xml:space="preserve"> el papel del veterinario como </w:t>
      </w:r>
      <w:r>
        <w:rPr>
          <w:rFonts w:ascii="Arial" w:hAnsi="Arial" w:cs="Arial"/>
          <w:sz w:val="22"/>
          <w:szCs w:val="22"/>
          <w:lang w:val="es-ES"/>
        </w:rPr>
        <w:t xml:space="preserve">único </w:t>
      </w:r>
      <w:r w:rsidRPr="000A38D7">
        <w:rPr>
          <w:rFonts w:ascii="Arial" w:hAnsi="Arial" w:cs="Arial"/>
          <w:sz w:val="22"/>
          <w:szCs w:val="22"/>
          <w:lang w:val="es-ES"/>
        </w:rPr>
        <w:t>garante de la salud de las mascotas</w:t>
      </w:r>
      <w:r>
        <w:rPr>
          <w:rFonts w:ascii="Arial" w:hAnsi="Arial" w:cs="Arial"/>
          <w:sz w:val="22"/>
          <w:szCs w:val="22"/>
          <w:lang w:val="es-ES"/>
        </w:rPr>
        <w:t>.</w:t>
      </w:r>
    </w:p>
    <w:p w14:paraId="6AAF90CE" w14:textId="09F44016" w:rsidR="006D7998" w:rsidRPr="00F618DA" w:rsidRDefault="00906012" w:rsidP="006D7998">
      <w:pPr>
        <w:pStyle w:val="NormalWeb"/>
        <w:shd w:val="clear" w:color="auto" w:fill="FFFFFF"/>
        <w:spacing w:before="0" w:beforeAutospacing="0" w:after="0" w:line="276" w:lineRule="auto"/>
        <w:rPr>
          <w:b/>
          <w:bCs/>
          <w:color w:val="auto"/>
          <w:sz w:val="22"/>
          <w:szCs w:val="22"/>
          <w:lang w:val="es-ES"/>
        </w:rPr>
      </w:pPr>
      <w:r w:rsidRPr="00F618DA">
        <w:rPr>
          <w:rStyle w:val="Strong"/>
          <w:color w:val="auto"/>
          <w:sz w:val="22"/>
          <w:szCs w:val="22"/>
          <w:lang w:val="es-ES"/>
        </w:rPr>
        <w:t>Acerca de</w:t>
      </w:r>
      <w:r w:rsidR="00BB4F77" w:rsidRPr="00F618DA">
        <w:rPr>
          <w:rStyle w:val="Strong"/>
          <w:color w:val="auto"/>
          <w:sz w:val="22"/>
          <w:szCs w:val="22"/>
          <w:lang w:val="es-ES"/>
        </w:rPr>
        <w:t xml:space="preserve"> MSD Animal Health</w:t>
      </w:r>
    </w:p>
    <w:p w14:paraId="3D48217A" w14:textId="4DF3F1A5" w:rsidR="00BB4F77" w:rsidRPr="00F618DA" w:rsidRDefault="00444D33" w:rsidP="0063713B">
      <w:pPr>
        <w:pStyle w:val="NormalWeb"/>
        <w:shd w:val="clear" w:color="auto" w:fill="FFFFFF"/>
        <w:spacing w:before="240" w:beforeAutospacing="0" w:line="276" w:lineRule="auto"/>
        <w:rPr>
          <w:rFonts w:ascii="Invention" w:hAnsi="Invention" w:cs="Calibri"/>
          <w:color w:val="37424A"/>
          <w:shd w:val="clear" w:color="auto" w:fill="FFFFFF"/>
          <w:lang w:val="es-ES" w:eastAsia="es-ES"/>
        </w:rPr>
      </w:pPr>
      <w:r w:rsidRPr="00F618DA">
        <w:rPr>
          <w:color w:val="auto"/>
          <w:sz w:val="22"/>
          <w:szCs w:val="22"/>
          <w:lang w:val="es-ES"/>
        </w:rPr>
        <w:t xml:space="preserve">MSD Animal Health, una división de Merck &amp; Co., Inc., Rahway, N.J., EE. UU., es una empresa global de salud animal comprometido con la ciencia de los animales más sanos. Desde hace más de 130 años, hemos sido pioneros en ciencia de vanguardia. Hoy, nos impulsa una innovación continua para desarrollar medicamentos, vacunas y soluciones tecnológica revolucionarias. Basados en la experiencia directa en las granjas y en las clínicas, trabajamos de la mano con nuestros clientes en cada paso del camino. Nuestro foco único consiste en impulsar a quienes cuidan de los animales, ayudándoles a gestionar con confianza su responsabilidad vital. Porque, cuando se trata de salud animal, nadie la comprende como </w:t>
      </w:r>
      <w:proofErr w:type="spellStart"/>
      <w:proofErr w:type="gramStart"/>
      <w:r w:rsidRPr="00F618DA">
        <w:rPr>
          <w:color w:val="auto"/>
          <w:sz w:val="22"/>
          <w:szCs w:val="22"/>
          <w:lang w:val="es-ES"/>
        </w:rPr>
        <w:t>nosotros.Para</w:t>
      </w:r>
      <w:proofErr w:type="spellEnd"/>
      <w:proofErr w:type="gramEnd"/>
      <w:r w:rsidRPr="00F618DA">
        <w:rPr>
          <w:color w:val="auto"/>
          <w:sz w:val="22"/>
          <w:szCs w:val="22"/>
          <w:lang w:val="es-ES"/>
        </w:rPr>
        <w:t xml:space="preserve"> más información, visite </w:t>
      </w:r>
      <w:hyperlink r:id="rId15" w:history="1">
        <w:r w:rsidRPr="00F039F8">
          <w:rPr>
            <w:rStyle w:val="Hyperlink"/>
            <w:color w:val="00857C"/>
            <w:sz w:val="22"/>
            <w:szCs w:val="22"/>
            <w:lang w:val="es-ES"/>
          </w:rPr>
          <w:t>www.msd-animal-health.es</w:t>
        </w:r>
      </w:hyperlink>
      <w:r w:rsidRPr="00F618DA">
        <w:rPr>
          <w:color w:val="auto"/>
          <w:sz w:val="22"/>
          <w:szCs w:val="22"/>
          <w:lang w:val="es-ES"/>
        </w:rPr>
        <w:t xml:space="preserve"> y puede conectar con nosotros en </w:t>
      </w:r>
      <w:hyperlink r:id="rId16" w:history="1">
        <w:r w:rsidRPr="00F039F8">
          <w:rPr>
            <w:rStyle w:val="Hyperlink"/>
            <w:color w:val="00857C"/>
            <w:sz w:val="22"/>
            <w:szCs w:val="22"/>
            <w:lang w:val="es-ES"/>
          </w:rPr>
          <w:t>LinkedIn</w:t>
        </w:r>
      </w:hyperlink>
      <w:r w:rsidRPr="00F618DA">
        <w:rPr>
          <w:color w:val="auto"/>
          <w:sz w:val="22"/>
          <w:szCs w:val="22"/>
          <w:lang w:val="es-ES"/>
        </w:rPr>
        <w:t>.</w:t>
      </w:r>
    </w:p>
    <w:p w14:paraId="245E64E8" w14:textId="05C8987B" w:rsidR="00BF7B42" w:rsidRPr="00F618DA" w:rsidRDefault="00BF7B42" w:rsidP="00FA482A">
      <w:pPr>
        <w:spacing w:line="276" w:lineRule="auto"/>
        <w:rPr>
          <w:rFonts w:ascii="Arial" w:hAnsi="Arial" w:cs="Arial"/>
          <w:color w:val="000000"/>
          <w:sz w:val="22"/>
          <w:szCs w:val="22"/>
          <w:lang w:val="es-ES"/>
        </w:rPr>
      </w:pPr>
      <w:r w:rsidRPr="00F618DA">
        <w:rPr>
          <w:rFonts w:ascii="Arial" w:hAnsi="Arial" w:cs="Arial"/>
          <w:b/>
          <w:bCs/>
          <w:sz w:val="22"/>
          <w:szCs w:val="22"/>
          <w:lang w:val="es-ES"/>
        </w:rPr>
        <w:t xml:space="preserve">Declaración de </w:t>
      </w:r>
      <w:proofErr w:type="gramStart"/>
      <w:r w:rsidRPr="00F618DA">
        <w:rPr>
          <w:rFonts w:ascii="Arial" w:hAnsi="Arial" w:cs="Arial"/>
          <w:b/>
          <w:bCs/>
          <w:sz w:val="22"/>
          <w:szCs w:val="22"/>
          <w:lang w:val="es-ES"/>
        </w:rPr>
        <w:t>expectativas futuras</w:t>
      </w:r>
      <w:proofErr w:type="gramEnd"/>
    </w:p>
    <w:p w14:paraId="0E302610" w14:textId="5E53C01C" w:rsidR="00BF7B42" w:rsidRPr="00F618DA" w:rsidRDefault="00BF7B42" w:rsidP="00BF7B42">
      <w:pPr>
        <w:spacing w:before="240" w:after="120" w:line="276" w:lineRule="auto"/>
        <w:rPr>
          <w:rFonts w:ascii="Arial" w:hAnsi="Arial" w:cs="Arial"/>
          <w:sz w:val="22"/>
          <w:szCs w:val="22"/>
          <w:lang w:val="es-ES"/>
        </w:rPr>
      </w:pPr>
      <w:r w:rsidRPr="00F618DA">
        <w:rPr>
          <w:rFonts w:ascii="Arial" w:hAnsi="Arial" w:cs="Arial"/>
          <w:sz w:val="22"/>
          <w:szCs w:val="22"/>
          <w:lang w:val="es-ES"/>
        </w:rPr>
        <w:t xml:space="preserve">Esta nota de prensa de Merck &amp; Co., Inc., Rahway, N.J., EE. UU. (la “compañía”) incluye “declaraciones prospectivas” en el sentido de las disposiciones de puerto seguro de la Ley de Reforma de Litigios sobre Valores Privados de EE. UU. de 1995. Estas declaraciones se basan en las creencias y expectativas actuales de la dirección de la compañía y están sujetas a riesgos e incertidumbres significativas. Si las hipótesis subyacentes resultan inexactas o si se </w:t>
      </w:r>
      <w:r w:rsidRPr="00F618DA">
        <w:rPr>
          <w:rFonts w:ascii="Arial" w:hAnsi="Arial" w:cs="Arial"/>
          <w:sz w:val="22"/>
          <w:szCs w:val="22"/>
          <w:lang w:val="es-ES"/>
        </w:rPr>
        <w:lastRenderedPageBreak/>
        <w:t>materializan los riesgos o las incertidumbres, los resultados reales pueden diferir de forma significativa de los establecidos en las declaraciones prospectivas.</w:t>
      </w:r>
    </w:p>
    <w:p w14:paraId="6830DDB2" w14:textId="77777777" w:rsidR="00BF7B42" w:rsidRPr="00F618DA" w:rsidRDefault="00BF7B42" w:rsidP="00BF7B42">
      <w:pPr>
        <w:spacing w:after="120" w:line="276" w:lineRule="auto"/>
        <w:rPr>
          <w:rFonts w:ascii="Arial" w:hAnsi="Arial" w:cs="Arial"/>
          <w:sz w:val="22"/>
          <w:szCs w:val="22"/>
          <w:lang w:val="es-ES"/>
        </w:rPr>
      </w:pPr>
      <w:r w:rsidRPr="00F618DA">
        <w:rPr>
          <w:rFonts w:ascii="Arial" w:hAnsi="Arial" w:cs="Arial"/>
          <w:sz w:val="22"/>
          <w:szCs w:val="22"/>
          <w:lang w:val="es-ES"/>
        </w:rPr>
        <w:t>Los riesgos y las incertidumbres incluyen, entre otros, las condiciones generales del sector y la competencia; factores económicos generales, incluidas las fluctuaciones de los tipos de interés y de cambio de divisas; el impacto de la regulación de la industria farmacéutica y de la legislación sanitaria en Estados Unidos y a nivel internacional; las tendencias globales hacia la contención de costes sanitarios; los avances tecnológicos, los nuevos productos y las patentes obtenidas por los competidores; los retos inherentes al desarrollo de nuevos productos, incluida la obtención de la aprobación regulatoria; la capacidad de la compañía para predecir con precisión las condiciones futuras del mercado; las dificultades o retrasos en la fabricación; la inestabilidad financiera de las economías internacionales y el riesgo soberano; la dependencia de la eficacia de las patentes de la compañía y de otras protecciones para los productos innovadores; y la exposición a litigios, incluidos litigios de patentes y/o actuaciones regulatorias.</w:t>
      </w:r>
    </w:p>
    <w:p w14:paraId="50539751" w14:textId="7DB70552" w:rsidR="00BF7B42" w:rsidRPr="00F618DA" w:rsidRDefault="00BF7B42" w:rsidP="00BF7B42">
      <w:pPr>
        <w:spacing w:after="120" w:line="276" w:lineRule="auto"/>
        <w:rPr>
          <w:rFonts w:ascii="Arial" w:hAnsi="Arial" w:cs="Arial"/>
          <w:sz w:val="22"/>
          <w:szCs w:val="22"/>
          <w:lang w:val="es-ES"/>
        </w:rPr>
      </w:pPr>
      <w:r w:rsidRPr="00F618DA">
        <w:rPr>
          <w:rFonts w:ascii="Arial" w:hAnsi="Arial" w:cs="Arial"/>
          <w:sz w:val="22"/>
          <w:szCs w:val="22"/>
          <w:lang w:val="es-ES"/>
        </w:rPr>
        <w:t>La compañía no asume obligación alguna de actualizar públicamente ninguna declaración prospectiva, ya sea como resultado de nueva información, acontecimientos futuros o por otros motivos. Pueden encontrarse factores adicionales que podrían provocar que los resultados difieran de forma significativa de los descritos en las declaraciones prospectivas en el Informe Anual de la compañía en el Formulario 10-K correspondiente al ejercicio cerrado el 31 de diciembre de 2025 y en otros documentos presentados por la compañía ante la Comisión de Bolsa y Valores de Estados Unidos (SEC), disponibles en el sitio web de la SEC (</w:t>
      </w:r>
      <w:hyperlink r:id="rId17" w:tgtFrame="_blank" w:history="1">
        <w:r w:rsidRPr="00F618DA">
          <w:rPr>
            <w:rStyle w:val="Hyperlink"/>
            <w:rFonts w:ascii="Arial" w:hAnsi="Arial" w:cs="Arial"/>
            <w:sz w:val="22"/>
            <w:szCs w:val="22"/>
            <w:lang w:val="es-ES"/>
          </w:rPr>
          <w:t>www.sec.gov</w:t>
        </w:r>
      </w:hyperlink>
      <w:r w:rsidRPr="00F618DA">
        <w:rPr>
          <w:rFonts w:ascii="Arial" w:hAnsi="Arial" w:cs="Arial"/>
          <w:sz w:val="22"/>
          <w:szCs w:val="22"/>
          <w:lang w:val="es-ES"/>
        </w:rPr>
        <w:t>).</w:t>
      </w:r>
    </w:p>
    <w:p w14:paraId="2FC8BD63" w14:textId="77777777" w:rsidR="00B7423E" w:rsidRPr="00F618DA" w:rsidRDefault="00B7423E" w:rsidP="00444D8F">
      <w:pPr>
        <w:tabs>
          <w:tab w:val="left" w:pos="720"/>
          <w:tab w:val="right" w:pos="8550"/>
        </w:tabs>
        <w:rPr>
          <w:rFonts w:ascii="Arial" w:hAnsi="Arial" w:cs="Arial"/>
          <w:b/>
          <w:sz w:val="20"/>
          <w:szCs w:val="20"/>
          <w:lang w:val="es-ES"/>
        </w:rPr>
      </w:pPr>
    </w:p>
    <w:p w14:paraId="0B1FC576" w14:textId="55CD9C7E" w:rsidR="00BB4F77" w:rsidRPr="00F618DA" w:rsidRDefault="00BB37C6" w:rsidP="00444D33">
      <w:pPr>
        <w:tabs>
          <w:tab w:val="left" w:pos="720"/>
          <w:tab w:val="right" w:pos="8550"/>
        </w:tabs>
        <w:jc w:val="center"/>
        <w:rPr>
          <w:rFonts w:ascii="Arial" w:hAnsi="Arial"/>
          <w:sz w:val="22"/>
          <w:lang w:val="es-ES"/>
        </w:rPr>
      </w:pPr>
      <w:r w:rsidRPr="00F618DA">
        <w:rPr>
          <w:rFonts w:ascii="Arial" w:hAnsi="Arial" w:cs="Arial"/>
          <w:bCs/>
          <w:sz w:val="20"/>
          <w:szCs w:val="20"/>
          <w:lang w:val="es-ES"/>
        </w:rPr>
        <w:t>###</w:t>
      </w:r>
    </w:p>
    <w:p w14:paraId="1557778C" w14:textId="2FBB626B" w:rsidR="00444D33" w:rsidRPr="00F618DA" w:rsidRDefault="00444D33" w:rsidP="00444D33">
      <w:pPr>
        <w:pBdr>
          <w:bottom w:val="single" w:sz="6" w:space="1" w:color="000000"/>
        </w:pBdr>
        <w:jc w:val="both"/>
        <w:textAlignment w:val="baseline"/>
        <w:rPr>
          <w:rFonts w:ascii="Arial" w:hAnsi="Arial" w:cs="Arial"/>
          <w:sz w:val="22"/>
          <w:szCs w:val="22"/>
          <w:lang w:val="es-ES" w:eastAsia="es-ES"/>
        </w:rPr>
      </w:pPr>
    </w:p>
    <w:p w14:paraId="5791F6F9" w14:textId="77777777" w:rsidR="00444D33" w:rsidRPr="00F618DA" w:rsidRDefault="00444D33" w:rsidP="00444D33">
      <w:pPr>
        <w:jc w:val="both"/>
        <w:textAlignment w:val="baseline"/>
        <w:rPr>
          <w:rFonts w:ascii="Arial" w:hAnsi="Arial" w:cs="Arial"/>
          <w:sz w:val="22"/>
          <w:szCs w:val="22"/>
          <w:lang w:val="es-ES" w:eastAsia="es-ES"/>
        </w:rPr>
      </w:pPr>
      <w:r w:rsidRPr="00F618DA">
        <w:rPr>
          <w:rFonts w:ascii="Arial" w:hAnsi="Arial" w:cs="Arial"/>
          <w:sz w:val="22"/>
          <w:szCs w:val="22"/>
          <w:lang w:val="es-ES" w:eastAsia="es-E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100"/>
      </w:tblGrid>
      <w:tr w:rsidR="00444D33" w:rsidRPr="00F85EF5" w14:paraId="6F6E8537" w14:textId="77777777" w:rsidTr="00924230">
        <w:trPr>
          <w:trHeight w:val="300"/>
        </w:trPr>
        <w:tc>
          <w:tcPr>
            <w:tcW w:w="2835" w:type="dxa"/>
            <w:tcBorders>
              <w:top w:val="nil"/>
              <w:left w:val="nil"/>
              <w:bottom w:val="nil"/>
              <w:right w:val="nil"/>
            </w:tcBorders>
            <w:hideMark/>
          </w:tcPr>
          <w:p w14:paraId="15BC8261" w14:textId="77777777" w:rsidR="00444D33" w:rsidRPr="00F618DA" w:rsidRDefault="00444D33" w:rsidP="00924230">
            <w:pPr>
              <w:jc w:val="both"/>
              <w:textAlignment w:val="baseline"/>
              <w:rPr>
                <w:rFonts w:ascii="Arial" w:hAnsi="Arial" w:cs="Arial"/>
                <w:sz w:val="22"/>
                <w:szCs w:val="22"/>
                <w:lang w:val="es-ES" w:eastAsia="es-ES"/>
              </w:rPr>
            </w:pPr>
            <w:r w:rsidRPr="00F618DA">
              <w:rPr>
                <w:rFonts w:ascii="Arial" w:hAnsi="Arial" w:cs="Arial"/>
                <w:b/>
                <w:bCs/>
                <w:sz w:val="22"/>
                <w:szCs w:val="22"/>
                <w:lang w:val="es-ES" w:eastAsia="es-ES"/>
              </w:rPr>
              <w:t>Contacto para medios:</w:t>
            </w:r>
            <w:r w:rsidRPr="00F618DA">
              <w:rPr>
                <w:rFonts w:ascii="Arial" w:hAnsi="Arial" w:cs="Arial"/>
                <w:sz w:val="22"/>
                <w:szCs w:val="22"/>
                <w:lang w:val="es-ES" w:eastAsia="es-ES"/>
              </w:rPr>
              <w:t> </w:t>
            </w:r>
          </w:p>
        </w:tc>
        <w:tc>
          <w:tcPr>
            <w:tcW w:w="5100" w:type="dxa"/>
            <w:tcBorders>
              <w:top w:val="nil"/>
              <w:left w:val="nil"/>
              <w:bottom w:val="nil"/>
              <w:right w:val="nil"/>
            </w:tcBorders>
            <w:hideMark/>
          </w:tcPr>
          <w:p w14:paraId="7BE2877F" w14:textId="77777777" w:rsidR="00444D33" w:rsidRPr="00F618DA" w:rsidRDefault="00444D33" w:rsidP="00924230">
            <w:pPr>
              <w:jc w:val="both"/>
              <w:textAlignment w:val="baseline"/>
              <w:rPr>
                <w:rFonts w:ascii="Arial" w:hAnsi="Arial" w:cs="Arial"/>
                <w:sz w:val="22"/>
                <w:szCs w:val="22"/>
                <w:lang w:val="es-ES" w:eastAsia="es-ES"/>
              </w:rPr>
            </w:pPr>
            <w:r w:rsidRPr="00F618DA">
              <w:rPr>
                <w:rFonts w:ascii="Arial" w:hAnsi="Arial" w:cs="Arial"/>
                <w:sz w:val="22"/>
                <w:szCs w:val="22"/>
                <w:lang w:val="es-ES" w:eastAsia="es-ES"/>
              </w:rPr>
              <w:t>Axel Dávila,  </w:t>
            </w:r>
          </w:p>
          <w:p w14:paraId="3C74FF2F" w14:textId="77777777" w:rsidR="00444D33" w:rsidRPr="00F618DA" w:rsidRDefault="00444D33" w:rsidP="00924230">
            <w:pPr>
              <w:jc w:val="both"/>
              <w:textAlignment w:val="baseline"/>
              <w:rPr>
                <w:rFonts w:ascii="Arial" w:hAnsi="Arial" w:cs="Arial"/>
                <w:sz w:val="22"/>
                <w:szCs w:val="22"/>
                <w:lang w:val="es-ES" w:eastAsia="es-ES"/>
              </w:rPr>
            </w:pPr>
            <w:proofErr w:type="spellStart"/>
            <w:r w:rsidRPr="00F618DA">
              <w:rPr>
                <w:rFonts w:ascii="Arial" w:hAnsi="Arial" w:cs="Arial"/>
                <w:sz w:val="22"/>
                <w:szCs w:val="22"/>
                <w:lang w:val="es-ES" w:eastAsia="es-ES"/>
              </w:rPr>
              <w:t>Communication</w:t>
            </w:r>
            <w:proofErr w:type="spellEnd"/>
            <w:r w:rsidRPr="00F618DA">
              <w:rPr>
                <w:rFonts w:ascii="Arial" w:hAnsi="Arial" w:cs="Arial"/>
                <w:sz w:val="22"/>
                <w:szCs w:val="22"/>
                <w:lang w:val="es-ES" w:eastAsia="es-ES"/>
              </w:rPr>
              <w:t xml:space="preserve"> Lead, España y Portugal </w:t>
            </w:r>
          </w:p>
        </w:tc>
      </w:tr>
      <w:tr w:rsidR="00444D33" w:rsidRPr="00F618DA" w14:paraId="6271D51A" w14:textId="77777777" w:rsidTr="00924230">
        <w:trPr>
          <w:trHeight w:val="480"/>
        </w:trPr>
        <w:tc>
          <w:tcPr>
            <w:tcW w:w="2835" w:type="dxa"/>
            <w:tcBorders>
              <w:top w:val="nil"/>
              <w:left w:val="nil"/>
              <w:bottom w:val="nil"/>
              <w:right w:val="nil"/>
            </w:tcBorders>
            <w:hideMark/>
          </w:tcPr>
          <w:p w14:paraId="7DF97255" w14:textId="77777777" w:rsidR="00444D33" w:rsidRPr="00F618DA" w:rsidRDefault="00444D33" w:rsidP="00924230">
            <w:pPr>
              <w:jc w:val="both"/>
              <w:textAlignment w:val="baseline"/>
              <w:rPr>
                <w:rFonts w:ascii="Arial" w:hAnsi="Arial" w:cs="Arial"/>
                <w:sz w:val="22"/>
                <w:szCs w:val="22"/>
                <w:lang w:val="es-ES" w:eastAsia="es-ES"/>
              </w:rPr>
            </w:pPr>
            <w:r w:rsidRPr="00F618DA">
              <w:rPr>
                <w:rFonts w:ascii="Arial" w:hAnsi="Arial" w:cs="Arial"/>
                <w:sz w:val="22"/>
                <w:szCs w:val="22"/>
                <w:lang w:val="es-ES" w:eastAsia="es-ES"/>
              </w:rPr>
              <w:t> </w:t>
            </w:r>
          </w:p>
        </w:tc>
        <w:tc>
          <w:tcPr>
            <w:tcW w:w="5100" w:type="dxa"/>
            <w:tcBorders>
              <w:top w:val="nil"/>
              <w:left w:val="nil"/>
              <w:bottom w:val="nil"/>
              <w:right w:val="nil"/>
            </w:tcBorders>
            <w:hideMark/>
          </w:tcPr>
          <w:p w14:paraId="65A421AF" w14:textId="77777777" w:rsidR="00444D33" w:rsidRPr="00F618DA" w:rsidRDefault="00444D33" w:rsidP="00924230">
            <w:pPr>
              <w:jc w:val="both"/>
              <w:textAlignment w:val="baseline"/>
              <w:rPr>
                <w:rFonts w:ascii="Arial" w:hAnsi="Arial" w:cs="Arial"/>
                <w:sz w:val="22"/>
                <w:szCs w:val="22"/>
                <w:lang w:val="es-ES" w:eastAsia="es-ES"/>
              </w:rPr>
            </w:pPr>
            <w:r w:rsidRPr="00F618DA">
              <w:rPr>
                <w:rFonts w:ascii="Arial" w:hAnsi="Arial" w:cs="Arial"/>
                <w:sz w:val="22"/>
                <w:szCs w:val="22"/>
                <w:lang w:val="es-ES" w:eastAsia="es-ES"/>
              </w:rPr>
              <w:t>+34 682 823 789 </w:t>
            </w:r>
          </w:p>
          <w:p w14:paraId="64AD2BAF" w14:textId="77777777" w:rsidR="00444D33" w:rsidRPr="00F618DA" w:rsidRDefault="00444D33" w:rsidP="00924230">
            <w:pPr>
              <w:jc w:val="both"/>
              <w:textAlignment w:val="baseline"/>
              <w:rPr>
                <w:rFonts w:ascii="Arial" w:hAnsi="Arial" w:cs="Arial"/>
                <w:sz w:val="22"/>
                <w:szCs w:val="22"/>
                <w:lang w:val="es-ES" w:eastAsia="es-ES"/>
              </w:rPr>
            </w:pPr>
            <w:r w:rsidRPr="00F618DA">
              <w:rPr>
                <w:rFonts w:ascii="Arial" w:hAnsi="Arial" w:cs="Arial"/>
                <w:sz w:val="22"/>
                <w:szCs w:val="22"/>
                <w:lang w:val="es-ES" w:eastAsia="es-ES"/>
              </w:rPr>
              <w:t>Axel.davila@merck.com  </w:t>
            </w:r>
          </w:p>
        </w:tc>
      </w:tr>
    </w:tbl>
    <w:p w14:paraId="4C915585" w14:textId="77777777" w:rsidR="00A26A96" w:rsidRPr="00F618DA" w:rsidRDefault="00A26A96" w:rsidP="00A83567">
      <w:pPr>
        <w:tabs>
          <w:tab w:val="left" w:pos="720"/>
          <w:tab w:val="right" w:pos="8550"/>
        </w:tabs>
        <w:rPr>
          <w:rFonts w:ascii="Arial" w:hAnsi="Arial" w:cs="Arial"/>
          <w:b/>
          <w:sz w:val="20"/>
          <w:lang w:val="es-ES"/>
        </w:rPr>
      </w:pPr>
    </w:p>
    <w:sectPr w:rsidR="00A26A96" w:rsidRPr="00F618DA" w:rsidSect="002D490E">
      <w:headerReference w:type="even" r:id="rId18"/>
      <w:headerReference w:type="default" r:id="rId19"/>
      <w:footerReference w:type="default" r:id="rId20"/>
      <w:headerReference w:type="first" r:id="rId21"/>
      <w:pgSz w:w="12240" w:h="15840" w:code="1"/>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722E" w14:textId="77777777" w:rsidR="000C7848" w:rsidRDefault="000C7848">
      <w:r>
        <w:separator/>
      </w:r>
    </w:p>
  </w:endnote>
  <w:endnote w:type="continuationSeparator" w:id="0">
    <w:p w14:paraId="78E23DBD" w14:textId="77777777" w:rsidR="000C7848" w:rsidRDefault="000C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Invention">
    <w:altName w:val="Cambria"/>
    <w:panose1 w:val="020B0503020008020204"/>
    <w:charset w:val="00"/>
    <w:family w:val="swiss"/>
    <w:pitch w:val="variable"/>
    <w:sig w:usb0="A000006F" w:usb1="4000004B" w:usb2="00000000" w:usb3="00000000" w:csb0="0000001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03CA" w14:textId="623DD777" w:rsidR="00891B41" w:rsidRDefault="00097816">
    <w:pPr>
      <w:pStyle w:val="Footer"/>
      <w:jc w:val="center"/>
      <w:rPr>
        <w:rFonts w:ascii="Arial" w:hAnsi="Arial" w:cs="Arial"/>
      </w:rPr>
    </w:pPr>
    <w:r>
      <w:rPr>
        <w:noProof/>
      </w:rPr>
      <w:drawing>
        <wp:anchor distT="0" distB="0" distL="114300" distR="114300" simplePos="0" relativeHeight="251656704" behindDoc="0" locked="0" layoutInCell="1" allowOverlap="1" wp14:anchorId="0DA17F3E" wp14:editId="565DA989">
          <wp:simplePos x="0" y="0"/>
          <wp:positionH relativeFrom="margin">
            <wp:align>left</wp:align>
          </wp:positionH>
          <wp:positionV relativeFrom="page">
            <wp:posOffset>20116800</wp:posOffset>
          </wp:positionV>
          <wp:extent cx="792480" cy="327660"/>
          <wp:effectExtent l="0" t="0" r="0" b="0"/>
          <wp:wrapNone/>
          <wp:docPr id="14" name="bjCLFRImagePrimFooter" descr="bjCLFRImagePrim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jCLFRImagePrimFooter" descr="bjCLFRImagePrim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27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528F8" w14:textId="77777777" w:rsidR="000C7848" w:rsidRDefault="000C7848">
      <w:r>
        <w:separator/>
      </w:r>
    </w:p>
  </w:footnote>
  <w:footnote w:type="continuationSeparator" w:id="0">
    <w:p w14:paraId="6623C84B" w14:textId="77777777" w:rsidR="000C7848" w:rsidRDefault="000C7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84E14" w14:textId="77777777" w:rsidR="00891B41" w:rsidRDefault="00891B4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8981FF7" w14:textId="77777777" w:rsidR="00891B41" w:rsidRDefault="00891B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EA2A" w14:textId="46DD054F" w:rsidR="00891B41" w:rsidRDefault="00097816">
    <w:pPr>
      <w:pStyle w:val="Header"/>
      <w:framePr w:wrap="around" w:vAnchor="text" w:hAnchor="margin" w:xAlign="center" w:y="1"/>
      <w:rPr>
        <w:rStyle w:val="PageNumber"/>
      </w:rPr>
    </w:pPr>
    <w:r>
      <w:rPr>
        <w:noProof/>
      </w:rPr>
      <mc:AlternateContent>
        <mc:Choice Requires="wps">
          <w:drawing>
            <wp:anchor distT="0" distB="0" distL="114300" distR="114300" simplePos="0" relativeHeight="251657728" behindDoc="0" locked="0" layoutInCell="0" allowOverlap="1" wp14:anchorId="579F197C" wp14:editId="448F41D3">
              <wp:simplePos x="0" y="0"/>
              <wp:positionH relativeFrom="page">
                <wp:posOffset>0</wp:posOffset>
              </wp:positionH>
              <wp:positionV relativeFrom="page">
                <wp:posOffset>190500</wp:posOffset>
              </wp:positionV>
              <wp:extent cx="7772400" cy="273685"/>
              <wp:effectExtent l="0" t="0" r="0" b="2540"/>
              <wp:wrapNone/>
              <wp:docPr id="2" name="MSIPCM902a47ee9e16199bdb774346" descr="{&quot;HashCode&quot;:1468442394,&quot;Height&quot;:792.0,&quot;Width&quot;:612.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30BE2" w14:textId="77777777" w:rsidR="00F6494E" w:rsidRPr="00F6494E" w:rsidRDefault="00F6494E" w:rsidP="00F6494E">
                          <w:pPr>
                            <w:rPr>
                              <w:rFonts w:ascii="Calibri" w:hAnsi="Calibri" w:cs="Calibri"/>
                              <w:color w:val="00B294"/>
                            </w:rPr>
                          </w:pPr>
                          <w:r w:rsidRPr="00F6494E">
                            <w:rPr>
                              <w:rFonts w:ascii="Calibri" w:hAnsi="Calibri" w:cs="Calibri"/>
                              <w:color w:val="00B294"/>
                            </w:rPr>
                            <w:t>Proprietary</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F197C" id="_x0000_t202" coordsize="21600,21600" o:spt="202" path="m,l,21600r21600,l21600,xe">
              <v:stroke joinstyle="miter"/>
              <v:path gradientshapeok="t" o:connecttype="rect"/>
            </v:shapetype>
            <v:shape id="MSIPCM902a47ee9e16199bdb774346" o:spid="_x0000_s1026" type="#_x0000_t202" alt="{&quot;HashCode&quot;:1468442394,&quot;Height&quot;:792.0,&quot;Width&quot;:612.0,&quot;Placement&quot;:&quot;Header&quot;,&quot;Index&quot;:&quot;Primary&quot;,&quot;Section&quot;:1,&quot;Top&quot;:0.0,&quot;Left&quot;:0.0}" style="position:absolute;margin-left:0;margin-top:15pt;width:612pt;height:21.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OL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" o:allowincell="f" filled="f" stroked="f">
              <v:textbox inset="20pt,0,,0">
                <w:txbxContent>
                  <w:p w14:paraId="68530BE2" w14:textId="77777777" w:rsidR="00F6494E" w:rsidRPr="00F6494E" w:rsidRDefault="00F6494E" w:rsidP="00F6494E">
                    <w:pPr>
                      <w:rPr>
                        <w:rFonts w:ascii="Calibri" w:hAnsi="Calibri" w:cs="Calibri"/>
                        <w:color w:val="00B294"/>
                      </w:rPr>
                    </w:pPr>
                    <w:r w:rsidRPr="00F6494E">
                      <w:rPr>
                        <w:rFonts w:ascii="Calibri" w:hAnsi="Calibri" w:cs="Calibri"/>
                        <w:color w:val="00B294"/>
                      </w:rPr>
                      <w:t>Proprietary</w:t>
                    </w:r>
                  </w:p>
                </w:txbxContent>
              </v:textbox>
              <w10:wrap anchorx="page" anchory="page"/>
            </v:shape>
          </w:pict>
        </mc:Fallback>
      </mc:AlternateContent>
    </w:r>
    <w:r w:rsidR="00891B41">
      <w:rPr>
        <w:rStyle w:val="PageNumber"/>
      </w:rPr>
      <w:fldChar w:fldCharType="begin"/>
    </w:r>
    <w:r w:rsidR="00891B41">
      <w:rPr>
        <w:rStyle w:val="PageNumber"/>
      </w:rPr>
      <w:instrText xml:space="preserve">PAGE  </w:instrText>
    </w:r>
    <w:r w:rsidR="00891B41">
      <w:rPr>
        <w:rStyle w:val="PageNumber"/>
      </w:rPr>
      <w:fldChar w:fldCharType="separate"/>
    </w:r>
    <w:r w:rsidR="002E3776">
      <w:rPr>
        <w:rStyle w:val="PageNumber"/>
        <w:noProof/>
      </w:rPr>
      <w:t>2</w:t>
    </w:r>
    <w:r w:rsidR="00891B41">
      <w:rPr>
        <w:rStyle w:val="PageNumber"/>
      </w:rPr>
      <w:fldChar w:fldCharType="end"/>
    </w:r>
  </w:p>
  <w:p w14:paraId="12FCF63F" w14:textId="77777777" w:rsidR="00891B41" w:rsidRDefault="00891B41">
    <w:pPr>
      <w:pStyle w:val="Header"/>
      <w:jc w:val="right"/>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C485" w14:textId="79D9C0F9" w:rsidR="00503DA5" w:rsidRDefault="00097816">
    <w:pPr>
      <w:pStyle w:val="Header"/>
    </w:pPr>
    <w:r>
      <w:rPr>
        <w:noProof/>
      </w:rPr>
      <mc:AlternateContent>
        <mc:Choice Requires="wps">
          <w:drawing>
            <wp:anchor distT="0" distB="0" distL="114300" distR="114300" simplePos="0" relativeHeight="251658752" behindDoc="0" locked="0" layoutInCell="0" allowOverlap="1" wp14:anchorId="079B3529" wp14:editId="5E623D62">
              <wp:simplePos x="0" y="0"/>
              <wp:positionH relativeFrom="page">
                <wp:posOffset>0</wp:posOffset>
              </wp:positionH>
              <wp:positionV relativeFrom="page">
                <wp:posOffset>190500</wp:posOffset>
              </wp:positionV>
              <wp:extent cx="7772400" cy="273685"/>
              <wp:effectExtent l="0" t="0" r="0" b="2540"/>
              <wp:wrapNone/>
              <wp:docPr id="1" name="MSIPCM4512485a9efa4b5f49369ce0" descr="{&quot;HashCode&quot;:1468442394,&quot;Height&quot;:792.0,&quot;Width&quot;:612.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D2725" w14:textId="77777777" w:rsidR="00F6494E" w:rsidRPr="00F6494E" w:rsidRDefault="00F6494E" w:rsidP="00F6494E">
                          <w:pPr>
                            <w:rPr>
                              <w:rFonts w:ascii="Calibri" w:hAnsi="Calibri" w:cs="Calibri"/>
                              <w:color w:val="00B294"/>
                            </w:rPr>
                          </w:pPr>
                          <w:r w:rsidRPr="00F6494E">
                            <w:rPr>
                              <w:rFonts w:ascii="Calibri" w:hAnsi="Calibri" w:cs="Calibri"/>
                              <w:color w:val="00B294"/>
                            </w:rPr>
                            <w:t>Proprietary</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9B3529" id="_x0000_t202" coordsize="21600,21600" o:spt="202" path="m,l,21600r21600,l21600,xe">
              <v:stroke joinstyle="miter"/>
              <v:path gradientshapeok="t" o:connecttype="rect"/>
            </v:shapetype>
            <v:shape id="MSIPCM4512485a9efa4b5f49369ce0" o:spid="_x0000_s1027" type="#_x0000_t202" alt="{&quot;HashCode&quot;:1468442394,&quot;Height&quot;:792.0,&quot;Width&quot;:612.0,&quot;Placement&quot;:&quot;Header&quot;,&quot;Index&quot;:&quot;FirstPage&quot;,&quot;Section&quot;:1,&quot;Top&quot;:0.0,&quot;Left&quot;:0.0}" style="position:absolute;margin-left:0;margin-top:15pt;width:612pt;height:2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" o:allowincell="f" filled="f" stroked="f">
              <v:textbox inset="20pt,0,,0">
                <w:txbxContent>
                  <w:p w14:paraId="582D2725" w14:textId="77777777" w:rsidR="00F6494E" w:rsidRPr="00F6494E" w:rsidRDefault="00F6494E" w:rsidP="00F6494E">
                    <w:pPr>
                      <w:rPr>
                        <w:rFonts w:ascii="Calibri" w:hAnsi="Calibri" w:cs="Calibri"/>
                        <w:color w:val="00B294"/>
                      </w:rPr>
                    </w:pPr>
                    <w:r w:rsidRPr="00F6494E">
                      <w:rPr>
                        <w:rFonts w:ascii="Calibri" w:hAnsi="Calibri" w:cs="Calibri"/>
                        <w:color w:val="00B294"/>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05B91"/>
    <w:multiLevelType w:val="multilevel"/>
    <w:tmpl w:val="1A6C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B198E"/>
    <w:multiLevelType w:val="hybridMultilevel"/>
    <w:tmpl w:val="2E4EEA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6A2566"/>
    <w:multiLevelType w:val="hybridMultilevel"/>
    <w:tmpl w:val="0638E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977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F704BD3"/>
    <w:multiLevelType w:val="multilevel"/>
    <w:tmpl w:val="46B63E2A"/>
    <w:lvl w:ilvl="0">
      <w:start w:val="1"/>
      <w:numFmt w:val="bullet"/>
      <w:lvlText w:val="—"/>
      <w:lvlJc w:val="left"/>
      <w:pPr>
        <w:tabs>
          <w:tab w:val="num" w:pos="648"/>
        </w:tabs>
        <w:ind w:left="648" w:hanging="288"/>
      </w:pPr>
      <w:rPr>
        <w:rFonts w:ascii="Courier New" w:hAnsi="Courier New" w:hint="default"/>
        <w:sz w:val="20"/>
      </w:rPr>
    </w:lvl>
    <w:lvl w:ilvl="1">
      <w:start w:val="1"/>
      <w:numFmt w:val="bullet"/>
      <w:lvlText w:val="—"/>
      <w:lvlJc w:val="left"/>
      <w:pPr>
        <w:tabs>
          <w:tab w:val="num" w:pos="1368"/>
        </w:tabs>
        <w:ind w:left="1368" w:hanging="288"/>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1F1CE7"/>
    <w:multiLevelType w:val="multilevel"/>
    <w:tmpl w:val="11B2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41305"/>
    <w:multiLevelType w:val="hybridMultilevel"/>
    <w:tmpl w:val="8F346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1C6153"/>
    <w:multiLevelType w:val="hybridMultilevel"/>
    <w:tmpl w:val="EA3238FC"/>
    <w:lvl w:ilvl="0" w:tplc="04090001">
      <w:start w:val="1"/>
      <w:numFmt w:val="bullet"/>
      <w:lvlText w:val=""/>
      <w:lvlJc w:val="left"/>
      <w:pPr>
        <w:ind w:left="720" w:hanging="360"/>
      </w:pPr>
      <w:rPr>
        <w:rFonts w:ascii="Symbol" w:hAnsi="Symbol" w:hint="default"/>
      </w:rPr>
    </w:lvl>
    <w:lvl w:ilvl="1" w:tplc="F466ACE4">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00F0409">
      <w:start w:val="1"/>
      <w:numFmt w:val="decimal"/>
      <w:lvlText w:val="%5."/>
      <w:lvlJc w:val="left"/>
      <w:pPr>
        <w:tabs>
          <w:tab w:val="num" w:pos="3600"/>
        </w:tabs>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83D44"/>
    <w:multiLevelType w:val="hybridMultilevel"/>
    <w:tmpl w:val="4030B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AD2C36"/>
    <w:multiLevelType w:val="multilevel"/>
    <w:tmpl w:val="79EA92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272747"/>
    <w:multiLevelType w:val="hybridMultilevel"/>
    <w:tmpl w:val="16CCF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6A032CA"/>
    <w:multiLevelType w:val="hybridMultilevel"/>
    <w:tmpl w:val="7960F33A"/>
    <w:lvl w:ilvl="0" w:tplc="C91014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D873B6"/>
    <w:multiLevelType w:val="hybridMultilevel"/>
    <w:tmpl w:val="95DE0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F52990"/>
    <w:multiLevelType w:val="multilevel"/>
    <w:tmpl w:val="53FE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036B0B"/>
    <w:multiLevelType w:val="hybridMultilevel"/>
    <w:tmpl w:val="915AAF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6F82DC9"/>
    <w:multiLevelType w:val="multilevel"/>
    <w:tmpl w:val="7960F3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13E07"/>
    <w:multiLevelType w:val="hybridMultilevel"/>
    <w:tmpl w:val="CD06D3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ED32DA"/>
    <w:multiLevelType w:val="hybridMultilevel"/>
    <w:tmpl w:val="08D66F44"/>
    <w:lvl w:ilvl="0" w:tplc="FE8E4EA2">
      <w:start w:val="1"/>
      <w:numFmt w:val="bullet"/>
      <w:lvlText w:val="•"/>
      <w:lvlJc w:val="left"/>
      <w:pPr>
        <w:tabs>
          <w:tab w:val="num" w:pos="720"/>
        </w:tabs>
        <w:ind w:left="720" w:hanging="360"/>
      </w:pPr>
      <w:rPr>
        <w:rFonts w:ascii="Arial" w:hAnsi="Arial" w:hint="default"/>
      </w:rPr>
    </w:lvl>
    <w:lvl w:ilvl="1" w:tplc="31307148" w:tentative="1">
      <w:start w:val="1"/>
      <w:numFmt w:val="bullet"/>
      <w:lvlText w:val="•"/>
      <w:lvlJc w:val="left"/>
      <w:pPr>
        <w:tabs>
          <w:tab w:val="num" w:pos="1440"/>
        </w:tabs>
        <w:ind w:left="1440" w:hanging="360"/>
      </w:pPr>
      <w:rPr>
        <w:rFonts w:ascii="Arial" w:hAnsi="Arial" w:hint="default"/>
      </w:rPr>
    </w:lvl>
    <w:lvl w:ilvl="2" w:tplc="70481B66">
      <w:start w:val="1"/>
      <w:numFmt w:val="bullet"/>
      <w:lvlText w:val="•"/>
      <w:lvlJc w:val="left"/>
      <w:pPr>
        <w:tabs>
          <w:tab w:val="num" w:pos="2160"/>
        </w:tabs>
        <w:ind w:left="2160" w:hanging="360"/>
      </w:pPr>
      <w:rPr>
        <w:rFonts w:ascii="Arial" w:hAnsi="Arial" w:hint="default"/>
      </w:rPr>
    </w:lvl>
    <w:lvl w:ilvl="3" w:tplc="97F4F098" w:tentative="1">
      <w:start w:val="1"/>
      <w:numFmt w:val="bullet"/>
      <w:lvlText w:val="•"/>
      <w:lvlJc w:val="left"/>
      <w:pPr>
        <w:tabs>
          <w:tab w:val="num" w:pos="2880"/>
        </w:tabs>
        <w:ind w:left="2880" w:hanging="360"/>
      </w:pPr>
      <w:rPr>
        <w:rFonts w:ascii="Arial" w:hAnsi="Arial" w:hint="default"/>
      </w:rPr>
    </w:lvl>
    <w:lvl w:ilvl="4" w:tplc="A7145598" w:tentative="1">
      <w:start w:val="1"/>
      <w:numFmt w:val="bullet"/>
      <w:lvlText w:val="•"/>
      <w:lvlJc w:val="left"/>
      <w:pPr>
        <w:tabs>
          <w:tab w:val="num" w:pos="3600"/>
        </w:tabs>
        <w:ind w:left="3600" w:hanging="360"/>
      </w:pPr>
      <w:rPr>
        <w:rFonts w:ascii="Arial" w:hAnsi="Arial" w:hint="default"/>
      </w:rPr>
    </w:lvl>
    <w:lvl w:ilvl="5" w:tplc="0B82ECAA" w:tentative="1">
      <w:start w:val="1"/>
      <w:numFmt w:val="bullet"/>
      <w:lvlText w:val="•"/>
      <w:lvlJc w:val="left"/>
      <w:pPr>
        <w:tabs>
          <w:tab w:val="num" w:pos="4320"/>
        </w:tabs>
        <w:ind w:left="4320" w:hanging="360"/>
      </w:pPr>
      <w:rPr>
        <w:rFonts w:ascii="Arial" w:hAnsi="Arial" w:hint="default"/>
      </w:rPr>
    </w:lvl>
    <w:lvl w:ilvl="6" w:tplc="DCE61CB2" w:tentative="1">
      <w:start w:val="1"/>
      <w:numFmt w:val="bullet"/>
      <w:lvlText w:val="•"/>
      <w:lvlJc w:val="left"/>
      <w:pPr>
        <w:tabs>
          <w:tab w:val="num" w:pos="5040"/>
        </w:tabs>
        <w:ind w:left="5040" w:hanging="360"/>
      </w:pPr>
      <w:rPr>
        <w:rFonts w:ascii="Arial" w:hAnsi="Arial" w:hint="default"/>
      </w:rPr>
    </w:lvl>
    <w:lvl w:ilvl="7" w:tplc="2AB84D4A" w:tentative="1">
      <w:start w:val="1"/>
      <w:numFmt w:val="bullet"/>
      <w:lvlText w:val="•"/>
      <w:lvlJc w:val="left"/>
      <w:pPr>
        <w:tabs>
          <w:tab w:val="num" w:pos="5760"/>
        </w:tabs>
        <w:ind w:left="5760" w:hanging="360"/>
      </w:pPr>
      <w:rPr>
        <w:rFonts w:ascii="Arial" w:hAnsi="Arial" w:hint="default"/>
      </w:rPr>
    </w:lvl>
    <w:lvl w:ilvl="8" w:tplc="936626E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E0752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D626CD8"/>
    <w:multiLevelType w:val="singleLevel"/>
    <w:tmpl w:val="AE58025C"/>
    <w:lvl w:ilvl="0">
      <w:numFmt w:val="bullet"/>
      <w:lvlText w:val="-"/>
      <w:lvlJc w:val="left"/>
      <w:pPr>
        <w:tabs>
          <w:tab w:val="num" w:pos="780"/>
        </w:tabs>
        <w:ind w:left="780" w:hanging="360"/>
      </w:pPr>
      <w:rPr>
        <w:rFonts w:hint="default"/>
      </w:rPr>
    </w:lvl>
  </w:abstractNum>
  <w:abstractNum w:abstractNumId="20" w15:restartNumberingAfterBreak="0">
    <w:nsid w:val="7D8C345C"/>
    <w:multiLevelType w:val="multilevel"/>
    <w:tmpl w:val="E69C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266574">
    <w:abstractNumId w:val="11"/>
  </w:num>
  <w:num w:numId="2" w16cid:durableId="947929911">
    <w:abstractNumId w:val="15"/>
  </w:num>
  <w:num w:numId="3" w16cid:durableId="1496533408">
    <w:abstractNumId w:val="8"/>
  </w:num>
  <w:num w:numId="4" w16cid:durableId="977494940">
    <w:abstractNumId w:val="6"/>
  </w:num>
  <w:num w:numId="5" w16cid:durableId="371151261">
    <w:abstractNumId w:val="1"/>
  </w:num>
  <w:num w:numId="6" w16cid:durableId="993068968">
    <w:abstractNumId w:val="7"/>
  </w:num>
  <w:num w:numId="7" w16cid:durableId="1924024457">
    <w:abstractNumId w:val="16"/>
  </w:num>
  <w:num w:numId="8" w16cid:durableId="1731345722">
    <w:abstractNumId w:val="4"/>
  </w:num>
  <w:num w:numId="9" w16cid:durableId="408187709">
    <w:abstractNumId w:val="18"/>
  </w:num>
  <w:num w:numId="10" w16cid:durableId="768238916">
    <w:abstractNumId w:val="19"/>
  </w:num>
  <w:num w:numId="11" w16cid:durableId="496766457">
    <w:abstractNumId w:val="3"/>
  </w:num>
  <w:num w:numId="12" w16cid:durableId="1239944085">
    <w:abstractNumId w:val="2"/>
  </w:num>
  <w:num w:numId="13" w16cid:durableId="372080187">
    <w:abstractNumId w:val="12"/>
  </w:num>
  <w:num w:numId="14" w16cid:durableId="1607038375">
    <w:abstractNumId w:val="17"/>
  </w:num>
  <w:num w:numId="15" w16cid:durableId="1356807218">
    <w:abstractNumId w:val="10"/>
  </w:num>
  <w:num w:numId="16" w16cid:durableId="2089693726">
    <w:abstractNumId w:val="20"/>
  </w:num>
  <w:num w:numId="17" w16cid:durableId="55209052">
    <w:abstractNumId w:val="14"/>
  </w:num>
  <w:num w:numId="18" w16cid:durableId="554507911">
    <w:abstractNumId w:val="9"/>
  </w:num>
  <w:num w:numId="19" w16cid:durableId="2138059973">
    <w:abstractNumId w:val="5"/>
  </w:num>
  <w:num w:numId="20" w16cid:durableId="1475947482">
    <w:abstractNumId w:val="0"/>
  </w:num>
  <w:num w:numId="21" w16cid:durableId="14640785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4DE"/>
    <w:rsid w:val="00002CF7"/>
    <w:rsid w:val="00016F32"/>
    <w:rsid w:val="0002198F"/>
    <w:rsid w:val="00046CFB"/>
    <w:rsid w:val="000621D0"/>
    <w:rsid w:val="0007495C"/>
    <w:rsid w:val="00077961"/>
    <w:rsid w:val="00081A65"/>
    <w:rsid w:val="00083871"/>
    <w:rsid w:val="0009689C"/>
    <w:rsid w:val="00097816"/>
    <w:rsid w:val="000A1B1B"/>
    <w:rsid w:val="000A38D7"/>
    <w:rsid w:val="000A43FB"/>
    <w:rsid w:val="000B0E84"/>
    <w:rsid w:val="000B5D0D"/>
    <w:rsid w:val="000B7984"/>
    <w:rsid w:val="000C3E5A"/>
    <w:rsid w:val="000C527D"/>
    <w:rsid w:val="000C7305"/>
    <w:rsid w:val="000C7848"/>
    <w:rsid w:val="000E0F47"/>
    <w:rsid w:val="000E35D2"/>
    <w:rsid w:val="00115FD5"/>
    <w:rsid w:val="00123B12"/>
    <w:rsid w:val="0012619C"/>
    <w:rsid w:val="00130537"/>
    <w:rsid w:val="0013595F"/>
    <w:rsid w:val="0014325D"/>
    <w:rsid w:val="0014505B"/>
    <w:rsid w:val="00150004"/>
    <w:rsid w:val="0015214E"/>
    <w:rsid w:val="0016311E"/>
    <w:rsid w:val="001639E7"/>
    <w:rsid w:val="00173FD5"/>
    <w:rsid w:val="0018008E"/>
    <w:rsid w:val="00182FE7"/>
    <w:rsid w:val="001B026F"/>
    <w:rsid w:val="001D54BB"/>
    <w:rsid w:val="002126DA"/>
    <w:rsid w:val="00214E4F"/>
    <w:rsid w:val="00225192"/>
    <w:rsid w:val="00225262"/>
    <w:rsid w:val="00262262"/>
    <w:rsid w:val="00266928"/>
    <w:rsid w:val="00281E63"/>
    <w:rsid w:val="002854C2"/>
    <w:rsid w:val="002A0781"/>
    <w:rsid w:val="002A4128"/>
    <w:rsid w:val="002A692C"/>
    <w:rsid w:val="002B331E"/>
    <w:rsid w:val="002C0393"/>
    <w:rsid w:val="002D490E"/>
    <w:rsid w:val="002D5E62"/>
    <w:rsid w:val="002D607F"/>
    <w:rsid w:val="002E3776"/>
    <w:rsid w:val="002E5023"/>
    <w:rsid w:val="002F06DE"/>
    <w:rsid w:val="00300905"/>
    <w:rsid w:val="00302617"/>
    <w:rsid w:val="00315876"/>
    <w:rsid w:val="0032251A"/>
    <w:rsid w:val="00335F0D"/>
    <w:rsid w:val="00341E44"/>
    <w:rsid w:val="00352A78"/>
    <w:rsid w:val="00356E5C"/>
    <w:rsid w:val="003576F2"/>
    <w:rsid w:val="0037020B"/>
    <w:rsid w:val="003743AB"/>
    <w:rsid w:val="00387C03"/>
    <w:rsid w:val="003A400F"/>
    <w:rsid w:val="003A5847"/>
    <w:rsid w:val="003A740B"/>
    <w:rsid w:val="003B1726"/>
    <w:rsid w:val="003C7039"/>
    <w:rsid w:val="003D098F"/>
    <w:rsid w:val="003D7BF8"/>
    <w:rsid w:val="003E2315"/>
    <w:rsid w:val="00402E0B"/>
    <w:rsid w:val="00410653"/>
    <w:rsid w:val="00411323"/>
    <w:rsid w:val="00444D33"/>
    <w:rsid w:val="00444D8F"/>
    <w:rsid w:val="004471CE"/>
    <w:rsid w:val="0048087B"/>
    <w:rsid w:val="00483646"/>
    <w:rsid w:val="00483B17"/>
    <w:rsid w:val="004B1DFE"/>
    <w:rsid w:val="004B3C96"/>
    <w:rsid w:val="004B4DD3"/>
    <w:rsid w:val="004D479B"/>
    <w:rsid w:val="004E542B"/>
    <w:rsid w:val="004E670F"/>
    <w:rsid w:val="004F25EB"/>
    <w:rsid w:val="004F54FE"/>
    <w:rsid w:val="00501815"/>
    <w:rsid w:val="005035CB"/>
    <w:rsid w:val="00503DA5"/>
    <w:rsid w:val="0050438D"/>
    <w:rsid w:val="00504518"/>
    <w:rsid w:val="00507074"/>
    <w:rsid w:val="00525FC8"/>
    <w:rsid w:val="0053097E"/>
    <w:rsid w:val="00534238"/>
    <w:rsid w:val="00542974"/>
    <w:rsid w:val="00542F19"/>
    <w:rsid w:val="00543D55"/>
    <w:rsid w:val="00546DA9"/>
    <w:rsid w:val="00560BAC"/>
    <w:rsid w:val="005726D8"/>
    <w:rsid w:val="005A07DA"/>
    <w:rsid w:val="005A5CF1"/>
    <w:rsid w:val="005A729D"/>
    <w:rsid w:val="005B3A51"/>
    <w:rsid w:val="005B4DE5"/>
    <w:rsid w:val="005C24BC"/>
    <w:rsid w:val="005E47A8"/>
    <w:rsid w:val="005E6E67"/>
    <w:rsid w:val="005E6E7F"/>
    <w:rsid w:val="005F5462"/>
    <w:rsid w:val="005F7B75"/>
    <w:rsid w:val="00617660"/>
    <w:rsid w:val="0062512F"/>
    <w:rsid w:val="0062523C"/>
    <w:rsid w:val="00627C6E"/>
    <w:rsid w:val="00627CC4"/>
    <w:rsid w:val="0063713B"/>
    <w:rsid w:val="00642EDE"/>
    <w:rsid w:val="00646F9B"/>
    <w:rsid w:val="00655AD5"/>
    <w:rsid w:val="00660466"/>
    <w:rsid w:val="00670040"/>
    <w:rsid w:val="00677F4B"/>
    <w:rsid w:val="006850E9"/>
    <w:rsid w:val="006A16F5"/>
    <w:rsid w:val="006A2112"/>
    <w:rsid w:val="006A4FEC"/>
    <w:rsid w:val="006A5996"/>
    <w:rsid w:val="006B4F52"/>
    <w:rsid w:val="006D09DD"/>
    <w:rsid w:val="006D7998"/>
    <w:rsid w:val="006F1DFA"/>
    <w:rsid w:val="0070010B"/>
    <w:rsid w:val="00722DB0"/>
    <w:rsid w:val="00723FE3"/>
    <w:rsid w:val="00727E16"/>
    <w:rsid w:val="00733E8D"/>
    <w:rsid w:val="0074015A"/>
    <w:rsid w:val="0075143A"/>
    <w:rsid w:val="00752AC3"/>
    <w:rsid w:val="00753DDF"/>
    <w:rsid w:val="00755DF0"/>
    <w:rsid w:val="007560CD"/>
    <w:rsid w:val="0079158D"/>
    <w:rsid w:val="007A75C5"/>
    <w:rsid w:val="007A7718"/>
    <w:rsid w:val="007B1A0E"/>
    <w:rsid w:val="007B2487"/>
    <w:rsid w:val="007D3CEB"/>
    <w:rsid w:val="00807FD2"/>
    <w:rsid w:val="00820DA3"/>
    <w:rsid w:val="008310C2"/>
    <w:rsid w:val="0083745F"/>
    <w:rsid w:val="00841278"/>
    <w:rsid w:val="0084278B"/>
    <w:rsid w:val="0085422D"/>
    <w:rsid w:val="00857416"/>
    <w:rsid w:val="00857B72"/>
    <w:rsid w:val="00867816"/>
    <w:rsid w:val="00875B20"/>
    <w:rsid w:val="00885F7D"/>
    <w:rsid w:val="00891B41"/>
    <w:rsid w:val="00892B5D"/>
    <w:rsid w:val="0089742A"/>
    <w:rsid w:val="008B68CC"/>
    <w:rsid w:val="008C321F"/>
    <w:rsid w:val="008C77EC"/>
    <w:rsid w:val="008D3E0B"/>
    <w:rsid w:val="008E2D84"/>
    <w:rsid w:val="008E30E4"/>
    <w:rsid w:val="008F5996"/>
    <w:rsid w:val="00901CF3"/>
    <w:rsid w:val="00906012"/>
    <w:rsid w:val="00911F5C"/>
    <w:rsid w:val="00914F88"/>
    <w:rsid w:val="00922E4E"/>
    <w:rsid w:val="00924230"/>
    <w:rsid w:val="009247F2"/>
    <w:rsid w:val="009253D4"/>
    <w:rsid w:val="00956A61"/>
    <w:rsid w:val="00962BE3"/>
    <w:rsid w:val="00967946"/>
    <w:rsid w:val="00970A63"/>
    <w:rsid w:val="00970FF0"/>
    <w:rsid w:val="00976B01"/>
    <w:rsid w:val="00987C36"/>
    <w:rsid w:val="00990C12"/>
    <w:rsid w:val="00992103"/>
    <w:rsid w:val="009A145A"/>
    <w:rsid w:val="009B31C0"/>
    <w:rsid w:val="009E12AC"/>
    <w:rsid w:val="009E6B87"/>
    <w:rsid w:val="009F2B1B"/>
    <w:rsid w:val="00A05160"/>
    <w:rsid w:val="00A112D2"/>
    <w:rsid w:val="00A1315B"/>
    <w:rsid w:val="00A16D32"/>
    <w:rsid w:val="00A22132"/>
    <w:rsid w:val="00A25E7D"/>
    <w:rsid w:val="00A262ED"/>
    <w:rsid w:val="00A26A96"/>
    <w:rsid w:val="00A31707"/>
    <w:rsid w:val="00A32353"/>
    <w:rsid w:val="00A33CB1"/>
    <w:rsid w:val="00A33FE0"/>
    <w:rsid w:val="00A510AA"/>
    <w:rsid w:val="00A54471"/>
    <w:rsid w:val="00A555A5"/>
    <w:rsid w:val="00A66403"/>
    <w:rsid w:val="00A77B20"/>
    <w:rsid w:val="00A83567"/>
    <w:rsid w:val="00A92A48"/>
    <w:rsid w:val="00A93159"/>
    <w:rsid w:val="00A9331A"/>
    <w:rsid w:val="00A96CBA"/>
    <w:rsid w:val="00AA1D88"/>
    <w:rsid w:val="00AA4D69"/>
    <w:rsid w:val="00AB207A"/>
    <w:rsid w:val="00AB67D6"/>
    <w:rsid w:val="00B04C1E"/>
    <w:rsid w:val="00B1200F"/>
    <w:rsid w:val="00B126BE"/>
    <w:rsid w:val="00B137F8"/>
    <w:rsid w:val="00B31669"/>
    <w:rsid w:val="00B46AD7"/>
    <w:rsid w:val="00B56CDA"/>
    <w:rsid w:val="00B62034"/>
    <w:rsid w:val="00B70B8B"/>
    <w:rsid w:val="00B7423E"/>
    <w:rsid w:val="00B75A69"/>
    <w:rsid w:val="00B83B28"/>
    <w:rsid w:val="00BA0806"/>
    <w:rsid w:val="00BB37C6"/>
    <w:rsid w:val="00BB4F77"/>
    <w:rsid w:val="00BD3D7E"/>
    <w:rsid w:val="00BD75EE"/>
    <w:rsid w:val="00BE2236"/>
    <w:rsid w:val="00BE233D"/>
    <w:rsid w:val="00BE3025"/>
    <w:rsid w:val="00BE30BE"/>
    <w:rsid w:val="00BF7B42"/>
    <w:rsid w:val="00C06303"/>
    <w:rsid w:val="00C06FA3"/>
    <w:rsid w:val="00C5536F"/>
    <w:rsid w:val="00C5594D"/>
    <w:rsid w:val="00C579C9"/>
    <w:rsid w:val="00C60AE8"/>
    <w:rsid w:val="00C84211"/>
    <w:rsid w:val="00C849AA"/>
    <w:rsid w:val="00C944A3"/>
    <w:rsid w:val="00CB0556"/>
    <w:rsid w:val="00CB23E7"/>
    <w:rsid w:val="00CC26EC"/>
    <w:rsid w:val="00CC467A"/>
    <w:rsid w:val="00CC74A0"/>
    <w:rsid w:val="00CD35BE"/>
    <w:rsid w:val="00CD7592"/>
    <w:rsid w:val="00CE32D3"/>
    <w:rsid w:val="00CE7482"/>
    <w:rsid w:val="00CF2ADC"/>
    <w:rsid w:val="00D1009F"/>
    <w:rsid w:val="00D15160"/>
    <w:rsid w:val="00D1537F"/>
    <w:rsid w:val="00D206A5"/>
    <w:rsid w:val="00D24628"/>
    <w:rsid w:val="00D24797"/>
    <w:rsid w:val="00D26FF8"/>
    <w:rsid w:val="00D452B1"/>
    <w:rsid w:val="00D45560"/>
    <w:rsid w:val="00D6545F"/>
    <w:rsid w:val="00D75D07"/>
    <w:rsid w:val="00D83837"/>
    <w:rsid w:val="00D86E5C"/>
    <w:rsid w:val="00D8767F"/>
    <w:rsid w:val="00D95E84"/>
    <w:rsid w:val="00D964DE"/>
    <w:rsid w:val="00D97CE3"/>
    <w:rsid w:val="00DA062B"/>
    <w:rsid w:val="00DA4AD8"/>
    <w:rsid w:val="00DB126F"/>
    <w:rsid w:val="00DB1D75"/>
    <w:rsid w:val="00DB475B"/>
    <w:rsid w:val="00DB7C71"/>
    <w:rsid w:val="00DC0A17"/>
    <w:rsid w:val="00DD34B1"/>
    <w:rsid w:val="00DD6301"/>
    <w:rsid w:val="00DD6AD9"/>
    <w:rsid w:val="00DE3EC6"/>
    <w:rsid w:val="00DF0190"/>
    <w:rsid w:val="00E0108B"/>
    <w:rsid w:val="00E02B66"/>
    <w:rsid w:val="00E23030"/>
    <w:rsid w:val="00E23B7E"/>
    <w:rsid w:val="00E3010B"/>
    <w:rsid w:val="00E348D0"/>
    <w:rsid w:val="00E411D6"/>
    <w:rsid w:val="00E445A0"/>
    <w:rsid w:val="00E45013"/>
    <w:rsid w:val="00E4663E"/>
    <w:rsid w:val="00E566D0"/>
    <w:rsid w:val="00E5762D"/>
    <w:rsid w:val="00E60116"/>
    <w:rsid w:val="00E70B24"/>
    <w:rsid w:val="00E76E97"/>
    <w:rsid w:val="00E85384"/>
    <w:rsid w:val="00E91233"/>
    <w:rsid w:val="00E95126"/>
    <w:rsid w:val="00EA2F95"/>
    <w:rsid w:val="00EA3B47"/>
    <w:rsid w:val="00EB1D50"/>
    <w:rsid w:val="00EC29C1"/>
    <w:rsid w:val="00ED4EF4"/>
    <w:rsid w:val="00EE62DD"/>
    <w:rsid w:val="00EF2A94"/>
    <w:rsid w:val="00F039F8"/>
    <w:rsid w:val="00F10DAF"/>
    <w:rsid w:val="00F17530"/>
    <w:rsid w:val="00F177A1"/>
    <w:rsid w:val="00F3346F"/>
    <w:rsid w:val="00F45994"/>
    <w:rsid w:val="00F45FD2"/>
    <w:rsid w:val="00F5490C"/>
    <w:rsid w:val="00F55F01"/>
    <w:rsid w:val="00F618DA"/>
    <w:rsid w:val="00F63EDC"/>
    <w:rsid w:val="00F6494E"/>
    <w:rsid w:val="00F64D90"/>
    <w:rsid w:val="00F72ADB"/>
    <w:rsid w:val="00F731EE"/>
    <w:rsid w:val="00F7647A"/>
    <w:rsid w:val="00F7717E"/>
    <w:rsid w:val="00F826F0"/>
    <w:rsid w:val="00F83820"/>
    <w:rsid w:val="00F85EF5"/>
    <w:rsid w:val="00FA3D0C"/>
    <w:rsid w:val="00FA482A"/>
    <w:rsid w:val="00FA522B"/>
    <w:rsid w:val="00FB00AB"/>
    <w:rsid w:val="00FB2627"/>
    <w:rsid w:val="00FC2BE1"/>
    <w:rsid w:val="00FC455A"/>
    <w:rsid w:val="00FD008F"/>
    <w:rsid w:val="00FD4148"/>
    <w:rsid w:val="00FD599F"/>
    <w:rsid w:val="00FE2855"/>
    <w:rsid w:val="00FE50D0"/>
    <w:rsid w:val="00FE530F"/>
    <w:rsid w:val="00FE7370"/>
    <w:rsid w:val="00FF398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5196B9"/>
  <w15:chartTrackingRefBased/>
  <w15:docId w15:val="{074DFEB6-0B45-4268-AFFF-BE5D20C93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tyle>
  <w:style w:type="paragraph" w:customStyle="1" w:styleId="Char">
    <w:name w:val="Char"/>
    <w:basedOn w:val="Normal"/>
    <w:pPr>
      <w:spacing w:after="160" w:line="240" w:lineRule="exact"/>
    </w:pPr>
    <w:rPr>
      <w:rFonts w:ascii="Verdana" w:hAnsi="Verdana"/>
      <w:sz w:val="20"/>
      <w:szCs w:val="20"/>
    </w:rPr>
  </w:style>
  <w:style w:type="character" w:styleId="Strong">
    <w:name w:val="Strong"/>
    <w:uiPriority w:val="22"/>
    <w:qFormat/>
    <w:rPr>
      <w:b/>
      <w:bCs/>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50"/>
    </w:pPr>
    <w:rPr>
      <w:rFonts w:ascii="Arial" w:hAnsi="Arial" w:cs="Arial"/>
      <w:color w:val="676767"/>
    </w:rPr>
  </w:style>
  <w:style w:type="paragraph" w:styleId="BalloonText">
    <w:name w:val="Balloon Text"/>
    <w:basedOn w:val="Normal"/>
    <w:semiHidden/>
    <w:rPr>
      <w:rFonts w:ascii="Tahoma" w:hAnsi="Tahoma" w:cs="Tahoma"/>
      <w:sz w:val="16"/>
      <w:szCs w:val="16"/>
    </w:rPr>
  </w:style>
  <w:style w:type="paragraph" w:styleId="PlainText">
    <w:name w:val="Plain Text"/>
    <w:basedOn w:val="Normal"/>
    <w:rPr>
      <w:rFonts w:ascii="Courier New" w:hAnsi="Courier New" w:cs="Courier New"/>
      <w:sz w:val="20"/>
      <w:szCs w:val="20"/>
    </w:rPr>
  </w:style>
  <w:style w:type="paragraph" w:styleId="BodyText">
    <w:name w:val="Body Text"/>
    <w:basedOn w:val="Normal"/>
    <w:link w:val="BodyTextChar"/>
    <w:pPr>
      <w:jc w:val="center"/>
    </w:pPr>
    <w:rPr>
      <w:rFonts w:ascii="Arial" w:hAnsi="Arial"/>
      <w:sz w:val="22"/>
      <w:szCs w:val="20"/>
    </w:rPr>
  </w:style>
  <w:style w:type="paragraph" w:styleId="BodyText3">
    <w:name w:val="Body Text 3"/>
    <w:basedOn w:val="Normal"/>
    <w:pPr>
      <w:tabs>
        <w:tab w:val="left" w:pos="720"/>
        <w:tab w:val="right" w:pos="8550"/>
      </w:tabs>
      <w:spacing w:line="360" w:lineRule="auto"/>
    </w:pPr>
    <w:rPr>
      <w:rFonts w:ascii="Arial" w:hAnsi="Arial"/>
      <w:sz w:val="22"/>
      <w:szCs w:val="20"/>
    </w:r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customStyle="1" w:styleId="Body1">
    <w:name w:val="Body 1"/>
    <w:rsid w:val="00D964DE"/>
    <w:pPr>
      <w:outlineLvl w:val="0"/>
    </w:pPr>
    <w:rPr>
      <w:rFonts w:ascii="Helvetica" w:eastAsia="Arial Unicode MS" w:hAnsi="Helvetica"/>
      <w:color w:val="000000"/>
      <w:sz w:val="24"/>
      <w:u w:color="000000"/>
    </w:rPr>
  </w:style>
  <w:style w:type="character" w:styleId="CommentReference">
    <w:name w:val="annotation reference"/>
    <w:rsid w:val="00D964DE"/>
    <w:rPr>
      <w:sz w:val="18"/>
      <w:szCs w:val="18"/>
    </w:rPr>
  </w:style>
  <w:style w:type="paragraph" w:styleId="CommentText">
    <w:name w:val="annotation text"/>
    <w:basedOn w:val="Normal"/>
    <w:link w:val="CommentTextChar"/>
    <w:uiPriority w:val="99"/>
    <w:rsid w:val="00D964DE"/>
    <w:rPr>
      <w:lang w:val="x-none" w:eastAsia="x-none"/>
    </w:rPr>
  </w:style>
  <w:style w:type="character" w:customStyle="1" w:styleId="CommentTextChar">
    <w:name w:val="Comment Text Char"/>
    <w:link w:val="CommentText"/>
    <w:uiPriority w:val="99"/>
    <w:rsid w:val="00D964DE"/>
    <w:rPr>
      <w:sz w:val="24"/>
      <w:szCs w:val="24"/>
    </w:rPr>
  </w:style>
  <w:style w:type="paragraph" w:styleId="BodyText2">
    <w:name w:val="Body Text 2"/>
    <w:basedOn w:val="Normal"/>
    <w:link w:val="BodyText2Char"/>
    <w:rsid w:val="00CC467A"/>
    <w:pPr>
      <w:spacing w:after="120" w:line="480" w:lineRule="auto"/>
    </w:pPr>
    <w:rPr>
      <w:rFonts w:eastAsia="MS Mincho"/>
      <w:lang w:eastAsia="ja-JP"/>
    </w:rPr>
  </w:style>
  <w:style w:type="character" w:customStyle="1" w:styleId="BodyText2Char">
    <w:name w:val="Body Text 2 Char"/>
    <w:link w:val="BodyText2"/>
    <w:rsid w:val="00CC467A"/>
    <w:rPr>
      <w:rFonts w:eastAsia="MS Mincho"/>
      <w:sz w:val="24"/>
      <w:szCs w:val="24"/>
      <w:lang w:eastAsia="ja-JP"/>
    </w:rPr>
  </w:style>
  <w:style w:type="character" w:customStyle="1" w:styleId="BodyTextChar">
    <w:name w:val="Body Text Char"/>
    <w:link w:val="BodyText"/>
    <w:rsid w:val="00CC467A"/>
    <w:rPr>
      <w:rFonts w:ascii="Arial" w:hAnsi="Arial"/>
      <w:sz w:val="22"/>
    </w:rPr>
  </w:style>
  <w:style w:type="character" w:styleId="Emphasis">
    <w:name w:val="Emphasis"/>
    <w:uiPriority w:val="20"/>
    <w:qFormat/>
    <w:rsid w:val="007A75C5"/>
    <w:rPr>
      <w:i/>
      <w:iCs/>
    </w:rPr>
  </w:style>
  <w:style w:type="character" w:styleId="UnresolvedMention">
    <w:name w:val="Unresolved Mention"/>
    <w:uiPriority w:val="99"/>
    <w:semiHidden/>
    <w:unhideWhenUsed/>
    <w:rsid w:val="00867816"/>
    <w:rPr>
      <w:color w:val="605E5C"/>
      <w:shd w:val="clear" w:color="auto" w:fill="E1DFDD"/>
    </w:rPr>
  </w:style>
  <w:style w:type="paragraph" w:styleId="ListParagraph">
    <w:name w:val="List Paragraph"/>
    <w:basedOn w:val="Normal"/>
    <w:uiPriority w:val="34"/>
    <w:qFormat/>
    <w:rsid w:val="003B1726"/>
    <w:pPr>
      <w:ind w:left="720"/>
      <w:contextualSpacing/>
    </w:pPr>
    <w:rPr>
      <w:rFonts w:ascii="Arial" w:eastAsia="Calibri" w:hAnsi="Arial" w:cs="Arial"/>
      <w:sz w:val="22"/>
      <w:szCs w:val="22"/>
    </w:rPr>
  </w:style>
  <w:style w:type="paragraph" w:styleId="CommentSubject">
    <w:name w:val="annotation subject"/>
    <w:basedOn w:val="CommentText"/>
    <w:next w:val="CommentText"/>
    <w:link w:val="CommentSubjectChar"/>
    <w:rsid w:val="00A16D32"/>
    <w:rPr>
      <w:b/>
      <w:bCs/>
      <w:sz w:val="20"/>
      <w:szCs w:val="20"/>
      <w:lang w:val="en-US" w:eastAsia="en-US"/>
    </w:rPr>
  </w:style>
  <w:style w:type="character" w:customStyle="1" w:styleId="CommentSubjectChar">
    <w:name w:val="Comment Subject Char"/>
    <w:basedOn w:val="CommentTextChar"/>
    <w:link w:val="CommentSubject"/>
    <w:rsid w:val="00A16D32"/>
    <w:rPr>
      <w:b/>
      <w:bCs/>
      <w:sz w:val="24"/>
      <w:szCs w:val="24"/>
    </w:rPr>
  </w:style>
  <w:style w:type="paragraph" w:styleId="FootnoteText">
    <w:name w:val="footnote text"/>
    <w:basedOn w:val="Normal"/>
    <w:link w:val="FootnoteTextChar"/>
    <w:rsid w:val="002F06DE"/>
    <w:rPr>
      <w:sz w:val="20"/>
      <w:szCs w:val="20"/>
    </w:rPr>
  </w:style>
  <w:style w:type="character" w:customStyle="1" w:styleId="FootnoteTextChar">
    <w:name w:val="Footnote Text Char"/>
    <w:basedOn w:val="DefaultParagraphFont"/>
    <w:link w:val="FootnoteText"/>
    <w:rsid w:val="002F06DE"/>
  </w:style>
  <w:style w:type="character" w:styleId="FootnoteReference">
    <w:name w:val="footnote reference"/>
    <w:basedOn w:val="DefaultParagraphFont"/>
    <w:rsid w:val="002F06DE"/>
    <w:rPr>
      <w:vertAlign w:val="superscript"/>
    </w:rPr>
  </w:style>
  <w:style w:type="paragraph" w:styleId="Revision">
    <w:name w:val="Revision"/>
    <w:hidden/>
    <w:uiPriority w:val="71"/>
    <w:rsid w:val="003576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215">
      <w:bodyDiv w:val="1"/>
      <w:marLeft w:val="0"/>
      <w:marRight w:val="0"/>
      <w:marTop w:val="0"/>
      <w:marBottom w:val="0"/>
      <w:divBdr>
        <w:top w:val="none" w:sz="0" w:space="0" w:color="auto"/>
        <w:left w:val="none" w:sz="0" w:space="0" w:color="auto"/>
        <w:bottom w:val="none" w:sz="0" w:space="0" w:color="auto"/>
        <w:right w:val="none" w:sz="0" w:space="0" w:color="auto"/>
      </w:divBdr>
    </w:div>
    <w:div w:id="384719785">
      <w:bodyDiv w:val="1"/>
      <w:marLeft w:val="0"/>
      <w:marRight w:val="0"/>
      <w:marTop w:val="0"/>
      <w:marBottom w:val="0"/>
      <w:divBdr>
        <w:top w:val="none" w:sz="0" w:space="0" w:color="auto"/>
        <w:left w:val="none" w:sz="0" w:space="0" w:color="auto"/>
        <w:bottom w:val="none" w:sz="0" w:space="0" w:color="auto"/>
        <w:right w:val="none" w:sz="0" w:space="0" w:color="auto"/>
      </w:divBdr>
      <w:divsChild>
        <w:div w:id="1597909609">
          <w:marLeft w:val="0"/>
          <w:marRight w:val="0"/>
          <w:marTop w:val="0"/>
          <w:marBottom w:val="0"/>
          <w:divBdr>
            <w:top w:val="none" w:sz="0" w:space="0" w:color="auto"/>
            <w:left w:val="none" w:sz="0" w:space="0" w:color="auto"/>
            <w:bottom w:val="none" w:sz="0" w:space="0" w:color="auto"/>
            <w:right w:val="none" w:sz="0" w:space="0" w:color="auto"/>
          </w:divBdr>
          <w:divsChild>
            <w:div w:id="69158784">
              <w:marLeft w:val="0"/>
              <w:marRight w:val="0"/>
              <w:marTop w:val="0"/>
              <w:marBottom w:val="0"/>
              <w:divBdr>
                <w:top w:val="none" w:sz="0" w:space="0" w:color="auto"/>
                <w:left w:val="none" w:sz="0" w:space="0" w:color="auto"/>
                <w:bottom w:val="none" w:sz="0" w:space="0" w:color="auto"/>
                <w:right w:val="none" w:sz="0" w:space="0" w:color="auto"/>
              </w:divBdr>
            </w:div>
            <w:div w:id="194970300">
              <w:marLeft w:val="0"/>
              <w:marRight w:val="0"/>
              <w:marTop w:val="0"/>
              <w:marBottom w:val="0"/>
              <w:divBdr>
                <w:top w:val="none" w:sz="0" w:space="0" w:color="auto"/>
                <w:left w:val="none" w:sz="0" w:space="0" w:color="auto"/>
                <w:bottom w:val="none" w:sz="0" w:space="0" w:color="auto"/>
                <w:right w:val="none" w:sz="0" w:space="0" w:color="auto"/>
              </w:divBdr>
            </w:div>
            <w:div w:id="568463861">
              <w:marLeft w:val="0"/>
              <w:marRight w:val="0"/>
              <w:marTop w:val="0"/>
              <w:marBottom w:val="0"/>
              <w:divBdr>
                <w:top w:val="none" w:sz="0" w:space="0" w:color="auto"/>
                <w:left w:val="none" w:sz="0" w:space="0" w:color="auto"/>
                <w:bottom w:val="none" w:sz="0" w:space="0" w:color="auto"/>
                <w:right w:val="none" w:sz="0" w:space="0" w:color="auto"/>
              </w:divBdr>
            </w:div>
            <w:div w:id="672075384">
              <w:marLeft w:val="0"/>
              <w:marRight w:val="0"/>
              <w:marTop w:val="0"/>
              <w:marBottom w:val="0"/>
              <w:divBdr>
                <w:top w:val="none" w:sz="0" w:space="0" w:color="auto"/>
                <w:left w:val="none" w:sz="0" w:space="0" w:color="auto"/>
                <w:bottom w:val="none" w:sz="0" w:space="0" w:color="auto"/>
                <w:right w:val="none" w:sz="0" w:space="0" w:color="auto"/>
              </w:divBdr>
            </w:div>
            <w:div w:id="10972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35477">
      <w:bodyDiv w:val="1"/>
      <w:marLeft w:val="0"/>
      <w:marRight w:val="0"/>
      <w:marTop w:val="0"/>
      <w:marBottom w:val="0"/>
      <w:divBdr>
        <w:top w:val="none" w:sz="0" w:space="0" w:color="auto"/>
        <w:left w:val="none" w:sz="0" w:space="0" w:color="auto"/>
        <w:bottom w:val="none" w:sz="0" w:space="0" w:color="auto"/>
        <w:right w:val="none" w:sz="0" w:space="0" w:color="auto"/>
      </w:divBdr>
    </w:div>
    <w:div w:id="546335173">
      <w:bodyDiv w:val="1"/>
      <w:marLeft w:val="0"/>
      <w:marRight w:val="0"/>
      <w:marTop w:val="0"/>
      <w:marBottom w:val="0"/>
      <w:divBdr>
        <w:top w:val="none" w:sz="0" w:space="0" w:color="auto"/>
        <w:left w:val="none" w:sz="0" w:space="0" w:color="auto"/>
        <w:bottom w:val="none" w:sz="0" w:space="0" w:color="auto"/>
        <w:right w:val="none" w:sz="0" w:space="0" w:color="auto"/>
      </w:divBdr>
    </w:div>
    <w:div w:id="844327110">
      <w:bodyDiv w:val="1"/>
      <w:marLeft w:val="0"/>
      <w:marRight w:val="0"/>
      <w:marTop w:val="0"/>
      <w:marBottom w:val="0"/>
      <w:divBdr>
        <w:top w:val="none" w:sz="0" w:space="0" w:color="auto"/>
        <w:left w:val="none" w:sz="0" w:space="0" w:color="auto"/>
        <w:bottom w:val="none" w:sz="0" w:space="0" w:color="auto"/>
        <w:right w:val="none" w:sz="0" w:space="0" w:color="auto"/>
      </w:divBdr>
    </w:div>
    <w:div w:id="1002780123">
      <w:bodyDiv w:val="1"/>
      <w:marLeft w:val="0"/>
      <w:marRight w:val="0"/>
      <w:marTop w:val="0"/>
      <w:marBottom w:val="0"/>
      <w:divBdr>
        <w:top w:val="none" w:sz="0" w:space="0" w:color="auto"/>
        <w:left w:val="none" w:sz="0" w:space="0" w:color="auto"/>
        <w:bottom w:val="none" w:sz="0" w:space="0" w:color="auto"/>
        <w:right w:val="none" w:sz="0" w:space="0" w:color="auto"/>
      </w:divBdr>
    </w:div>
    <w:div w:id="1125080400">
      <w:bodyDiv w:val="1"/>
      <w:marLeft w:val="0"/>
      <w:marRight w:val="0"/>
      <w:marTop w:val="0"/>
      <w:marBottom w:val="0"/>
      <w:divBdr>
        <w:top w:val="none" w:sz="0" w:space="0" w:color="auto"/>
        <w:left w:val="none" w:sz="0" w:space="0" w:color="auto"/>
        <w:bottom w:val="none" w:sz="0" w:space="0" w:color="auto"/>
        <w:right w:val="none" w:sz="0" w:space="0" w:color="auto"/>
      </w:divBdr>
    </w:div>
    <w:div w:id="1241134406">
      <w:bodyDiv w:val="1"/>
      <w:marLeft w:val="0"/>
      <w:marRight w:val="0"/>
      <w:marTop w:val="0"/>
      <w:marBottom w:val="0"/>
      <w:divBdr>
        <w:top w:val="none" w:sz="0" w:space="0" w:color="auto"/>
        <w:left w:val="none" w:sz="0" w:space="0" w:color="auto"/>
        <w:bottom w:val="none" w:sz="0" w:space="0" w:color="auto"/>
        <w:right w:val="none" w:sz="0" w:space="0" w:color="auto"/>
      </w:divBdr>
      <w:divsChild>
        <w:div w:id="1766270090">
          <w:marLeft w:val="0"/>
          <w:marRight w:val="0"/>
          <w:marTop w:val="0"/>
          <w:marBottom w:val="0"/>
          <w:divBdr>
            <w:top w:val="none" w:sz="0" w:space="0" w:color="auto"/>
            <w:left w:val="none" w:sz="0" w:space="0" w:color="auto"/>
            <w:bottom w:val="none" w:sz="0" w:space="0" w:color="auto"/>
            <w:right w:val="none" w:sz="0" w:space="0" w:color="auto"/>
          </w:divBdr>
        </w:div>
      </w:divsChild>
    </w:div>
    <w:div w:id="1309477960">
      <w:bodyDiv w:val="1"/>
      <w:marLeft w:val="0"/>
      <w:marRight w:val="0"/>
      <w:marTop w:val="0"/>
      <w:marBottom w:val="0"/>
      <w:divBdr>
        <w:top w:val="none" w:sz="0" w:space="0" w:color="auto"/>
        <w:left w:val="none" w:sz="0" w:space="0" w:color="auto"/>
        <w:bottom w:val="none" w:sz="0" w:space="0" w:color="auto"/>
        <w:right w:val="none" w:sz="0" w:space="0" w:color="auto"/>
      </w:divBdr>
      <w:divsChild>
        <w:div w:id="1182818076">
          <w:marLeft w:val="907"/>
          <w:marRight w:val="0"/>
          <w:marTop w:val="0"/>
          <w:marBottom w:val="0"/>
          <w:divBdr>
            <w:top w:val="none" w:sz="0" w:space="0" w:color="auto"/>
            <w:left w:val="none" w:sz="0" w:space="0" w:color="auto"/>
            <w:bottom w:val="none" w:sz="0" w:space="0" w:color="auto"/>
            <w:right w:val="none" w:sz="0" w:space="0" w:color="auto"/>
          </w:divBdr>
        </w:div>
      </w:divsChild>
    </w:div>
    <w:div w:id="1844781448">
      <w:bodyDiv w:val="1"/>
      <w:marLeft w:val="0"/>
      <w:marRight w:val="0"/>
      <w:marTop w:val="0"/>
      <w:marBottom w:val="0"/>
      <w:divBdr>
        <w:top w:val="none" w:sz="0" w:space="0" w:color="auto"/>
        <w:left w:val="none" w:sz="0" w:space="0" w:color="auto"/>
        <w:bottom w:val="none" w:sz="0" w:space="0" w:color="auto"/>
        <w:right w:val="none" w:sz="0" w:space="0" w:color="auto"/>
      </w:divBdr>
    </w:div>
    <w:div w:id="1868442521">
      <w:bodyDiv w:val="1"/>
      <w:marLeft w:val="0"/>
      <w:marRight w:val="0"/>
      <w:marTop w:val="0"/>
      <w:marBottom w:val="0"/>
      <w:divBdr>
        <w:top w:val="none" w:sz="0" w:space="0" w:color="auto"/>
        <w:left w:val="none" w:sz="0" w:space="0" w:color="auto"/>
        <w:bottom w:val="none" w:sz="0" w:space="0" w:color="auto"/>
        <w:right w:val="none" w:sz="0" w:space="0" w:color="auto"/>
      </w:divBdr>
    </w:div>
    <w:div w:id="2047830303">
      <w:bodyDiv w:val="1"/>
      <w:marLeft w:val="0"/>
      <w:marRight w:val="0"/>
      <w:marTop w:val="0"/>
      <w:marBottom w:val="0"/>
      <w:divBdr>
        <w:top w:val="none" w:sz="0" w:space="0" w:color="auto"/>
        <w:left w:val="none" w:sz="0" w:space="0" w:color="auto"/>
        <w:bottom w:val="none" w:sz="0" w:space="0" w:color="auto"/>
        <w:right w:val="none" w:sz="0" w:space="0" w:color="auto"/>
      </w:divBdr>
    </w:div>
    <w:div w:id="210949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sec.gov/" TargetMode="External"/><Relationship Id="rId2" Type="http://schemas.openxmlformats.org/officeDocument/2006/relationships/customXml" Target="../customXml/item2.xml"/><Relationship Id="rId16" Type="http://schemas.openxmlformats.org/officeDocument/2006/relationships/hyperlink" Target="https://www.linkedin.com/company/88283226/admin/feed/pos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msd-animal-health.e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ee44c6-c404-42c6-98e9-d88c86ad0323" xsi:nil="true"/>
    <lcf76f155ced4ddcb4097134ff3c332f xmlns="c5f8faa7-c6e6-4c89-bfe7-86e5968d84c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sisl xmlns:xsi="http://www.w3.org/2001/XMLSchema-instance" xmlns:xsd="http://www.w3.org/2001/XMLSchema" xmlns="http://www.boldonjames.com/2008/01/sie/internal/label" sislVersion="0" policy="a10f9ac0-5937-4b4f-b459-96aedd9ed2c5" origin="userSelected">
  <element uid="id_classification_euconfidential" value=""/>
  <element uid="cefbaa69-3bfa-4b56-8d22-6839cb7b06d0"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62FCCA316A778844930FDF77864DAAD7" ma:contentTypeVersion="18" ma:contentTypeDescription="Create a new document." ma:contentTypeScope="" ma:versionID="400ee346c4aca9dd22f30b97606b1f30">
  <xsd:schema xmlns:xsd="http://www.w3.org/2001/XMLSchema" xmlns:xs="http://www.w3.org/2001/XMLSchema" xmlns:p="http://schemas.microsoft.com/office/2006/metadata/properties" xmlns:ns1="http://schemas.microsoft.com/sharepoint/v3" xmlns:ns2="c5f8faa7-c6e6-4c89-bfe7-86e5968d84c5" xmlns:ns3="2aee44c6-c404-42c6-98e9-d88c86ad0323" targetNamespace="http://schemas.microsoft.com/office/2006/metadata/properties" ma:root="true" ma:fieldsID="ed4e685a26ff2cc4ef1c41f54b648b32" ns1:_="" ns2:_="" ns3:_="">
    <xsd:import namespace="http://schemas.microsoft.com/sharepoint/v3"/>
    <xsd:import namespace="c5f8faa7-c6e6-4c89-bfe7-86e5968d84c5"/>
    <xsd:import namespace="2aee44c6-c404-42c6-98e9-d88c86ad03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8faa7-c6e6-4c89-bfe7-86e5968d8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ee44c6-c404-42c6-98e9-d88c86ad03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d8a211-7af0-44b0-b3c5-6606a6a367c3}" ma:internalName="TaxCatchAll" ma:showField="CatchAllData" ma:web="2aee44c6-c404-42c6-98e9-d88c86ad032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E05E98DB-CE1D-493F-B055-A786188BEC2A}">
  <ds:schemaRefs>
    <ds:schemaRef ds:uri="http://schemas.microsoft.com/office/2006/metadata/properties"/>
    <ds:schemaRef ds:uri="http://schemas.microsoft.com/office/infopath/2007/PartnerControls"/>
    <ds:schemaRef ds:uri="2aee44c6-c404-42c6-98e9-d88c86ad0323"/>
    <ds:schemaRef ds:uri="c5f8faa7-c6e6-4c89-bfe7-86e5968d84c5"/>
    <ds:schemaRef ds:uri="http://schemas.microsoft.com/sharepoint/v3"/>
  </ds:schemaRefs>
</ds:datastoreItem>
</file>

<file path=customXml/itemProps2.xml><?xml version="1.0" encoding="utf-8"?>
<ds:datastoreItem xmlns:ds="http://schemas.openxmlformats.org/officeDocument/2006/customXml" ds:itemID="{2D31C773-FF82-4903-8286-D7C85DB88FE6}">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175CD77-7313-4CD7-94E7-4B7119293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f8faa7-c6e6-4c89-bfe7-86e5968d84c5"/>
    <ds:schemaRef ds:uri="2aee44c6-c404-42c6-98e9-d88c86ad0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290536-C0E0-47B1-BB44-7366D6D6FC54}">
  <ds:schemaRefs>
    <ds:schemaRef ds:uri="http://schemas.microsoft.com/sharepoint/v3/contenttype/forms"/>
  </ds:schemaRefs>
</ds:datastoreItem>
</file>

<file path=customXml/itemProps5.xml><?xml version="1.0" encoding="utf-8"?>
<ds:datastoreItem xmlns:ds="http://schemas.openxmlformats.org/officeDocument/2006/customXml" ds:itemID="{DE6F7665-D07D-4107-93E4-9E1C2921F847}">
  <ds:schemaRefs>
    <ds:schemaRef ds:uri="http://schemas.openxmlformats.org/officeDocument/2006/bibliography"/>
  </ds:schemaRefs>
</ds:datastoreItem>
</file>

<file path=customXml/itemProps6.xml><?xml version="1.0" encoding="utf-8"?>
<ds:datastoreItem xmlns:ds="http://schemas.openxmlformats.org/officeDocument/2006/customXml" ds:itemID="{2D99E4A5-CE64-40E6-9C73-BE0C00BEC7B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1072</Words>
  <Characters>5940</Characters>
  <Application>Microsoft Office Word</Application>
  <DocSecurity>0</DocSecurity>
  <Lines>106</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DRAFT Go Forward Release (00299614-2).DOC</vt:lpstr>
      <vt:lpstr>DRAFT Go Forward Release (00299614-2).DOC</vt:lpstr>
    </vt:vector>
  </TitlesOfParts>
  <Company>Authorized user</Company>
  <LinksUpToDate>false</LinksUpToDate>
  <CharactersWithSpaces>6980</CharactersWithSpaces>
  <SharedDoc>false</SharedDoc>
  <HLinks>
    <vt:vector size="18" baseType="variant">
      <vt:variant>
        <vt:i4>8257594</vt:i4>
      </vt:variant>
      <vt:variant>
        <vt:i4>6</vt:i4>
      </vt:variant>
      <vt:variant>
        <vt:i4>0</vt:i4>
      </vt:variant>
      <vt:variant>
        <vt:i4>5</vt:i4>
      </vt:variant>
      <vt:variant>
        <vt:lpwstr>https://twitter.com/msdanimalhealth</vt:lpwstr>
      </vt:variant>
      <vt:variant>
        <vt:lpwstr/>
      </vt:variant>
      <vt:variant>
        <vt:i4>2162815</vt:i4>
      </vt:variant>
      <vt:variant>
        <vt:i4>3</vt:i4>
      </vt:variant>
      <vt:variant>
        <vt:i4>0</vt:i4>
      </vt:variant>
      <vt:variant>
        <vt:i4>5</vt:i4>
      </vt:variant>
      <vt:variant>
        <vt:lpwstr>https://www.linkedin.com/showcase/msd-animal-health</vt:lpwstr>
      </vt:variant>
      <vt:variant>
        <vt:lpwstr/>
      </vt:variant>
      <vt:variant>
        <vt:i4>589917</vt:i4>
      </vt:variant>
      <vt:variant>
        <vt:i4>0</vt:i4>
      </vt:variant>
      <vt:variant>
        <vt:i4>0</vt:i4>
      </vt:variant>
      <vt:variant>
        <vt:i4>5</vt:i4>
      </vt:variant>
      <vt:variant>
        <vt:lpwstr>http://www.msd-animal-health.com/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Go Forward Release (00299614-2).DOC</dc:title>
  <dc:subject>00299614.DOC;2</dc:subject>
  <dc:creator>bfasbender</dc:creator>
  <cp:keywords/>
  <dc:description/>
  <cp:lastModifiedBy>Davila, Axel</cp:lastModifiedBy>
  <cp:revision>5</cp:revision>
  <cp:lastPrinted>2013-02-13T21:50:00Z</cp:lastPrinted>
  <dcterms:created xsi:type="dcterms:W3CDTF">2026-07-01T06:53:00Z</dcterms:created>
  <dcterms:modified xsi:type="dcterms:W3CDTF">2026-07-01T13:45:00Z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203577549</vt:i4>
  </property>
  <property fmtid="{D5CDD505-2E9C-101B-9397-08002B2CF9AE}" pid="4" name="_EmailSubject">
    <vt:lpwstr>NdP_MSD Animal Health - Roadshow 7 Ciudades Numelvi</vt:lpwstr>
  </property>
  <property fmtid="{D5CDD505-2E9C-101B-9397-08002B2CF9AE}" pid="5" name="_AuthorEmail">
    <vt:lpwstr>msdahes@msd.com</vt:lpwstr>
  </property>
  <property fmtid="{D5CDD505-2E9C-101B-9397-08002B2CF9AE}" pid="6" name="_AuthorEmailDisplayName">
    <vt:lpwstr>MSD Animal Health España</vt:lpwstr>
  </property>
  <property fmtid="{D5CDD505-2E9C-101B-9397-08002B2CF9AE}" pid="7" name="_PreviousAdHocReviewCycleID">
    <vt:i4>-2130870632</vt:i4>
  </property>
  <property fmtid="{D5CDD505-2E9C-101B-9397-08002B2CF9AE}" pid="8" name="_dlc_DocId">
    <vt:lpwstr>QZQFWKSMH2RT-70-3</vt:lpwstr>
  </property>
  <property fmtid="{D5CDD505-2E9C-101B-9397-08002B2CF9AE}" pid="9" name="_dlc_DocIdItemGuid">
    <vt:lpwstr>81e1cbbf-eb02-4f46-8640-769dcdae96f6</vt:lpwstr>
  </property>
  <property fmtid="{D5CDD505-2E9C-101B-9397-08002B2CF9AE}" pid="10" name="_dlc_DocIdUrl">
    <vt:lpwstr>http://splcps.merck.com/sites/COMM/AH/_layouts/DocIdRedir.aspx?ID=QZQFWKSMH2RT-70-3, QZQFWKSMH2RT-70-3</vt:lpwstr>
  </property>
  <property fmtid="{D5CDD505-2E9C-101B-9397-08002B2CF9AE}" pid="11" name="docIndexRef">
    <vt:lpwstr>4db22e42-56f2-41d9-8451-a420c63b10ba</vt:lpwstr>
  </property>
  <property fmtid="{D5CDD505-2E9C-101B-9397-08002B2CF9AE}" pid="12" name="bjSaver">
    <vt:lpwstr>Kw3PM+z39hUdtNDvlJIJMT5zmBUltl64</vt:lpwstr>
  </property>
  <property fmtid="{D5CDD505-2E9C-101B-9397-08002B2CF9AE}" pid="13" name="bjDocumentSecurityLabel">
    <vt:lpwstr>Proprietary</vt:lpwstr>
  </property>
  <property fmtid="{D5CDD505-2E9C-101B-9397-08002B2CF9AE}" pid="14" name="MerckMetadataExchange">
    <vt:lpwstr>!$MRK@Proprietary-Footer-Left</vt:lpwstr>
  </property>
  <property fmtid="{D5CDD505-2E9C-101B-9397-08002B2CF9AE}" pid="15" name="display_urn:schemas-microsoft-com:office:office#Editor">
    <vt:lpwstr>migrateduser@merck.com</vt:lpwstr>
  </property>
  <property fmtid="{D5CDD505-2E9C-101B-9397-08002B2CF9AE}" pid="16" name="Title">
    <vt:lpwstr>DRAFT Go Forward Release (00299614-2).DOC</vt:lpwstr>
  </property>
  <property fmtid="{D5CDD505-2E9C-101B-9397-08002B2CF9AE}" pid="17" name="display_urn:schemas-microsoft-com:office:office#Author">
    <vt:lpwstr>migrateduser@merck.com</vt:lpwstr>
  </property>
  <property fmtid="{D5CDD505-2E9C-101B-9397-08002B2CF9AE}" pid="18" name="PublishingExpirationDate">
    <vt:lpwstr/>
  </property>
  <property fmtid="{D5CDD505-2E9C-101B-9397-08002B2CF9AE}" pid="19" name="PublishingStartDate">
    <vt:lpwstr/>
  </property>
  <property fmtid="{D5CDD505-2E9C-101B-9397-08002B2CF9AE}" pid="20"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21" name="bjDocumentLabelXML-0">
    <vt:lpwstr>ames.com/2008/01/sie/internal/label"&gt;&lt;element uid="id_classification_euconfidential" value="" /&gt;&lt;element uid="cefbaa69-3bfa-4b56-8d22-6839cb7b06d0" value="" /&gt;&lt;/sisl&gt;</vt:lpwstr>
  </property>
  <property fmtid="{D5CDD505-2E9C-101B-9397-08002B2CF9AE}" pid="22" name="ContentTypeId">
    <vt:lpwstr>0x01010062FCCA316A778844930FDF77864DAAD7</vt:lpwstr>
  </property>
  <property fmtid="{D5CDD505-2E9C-101B-9397-08002B2CF9AE}" pid="23" name="MSIP_Label_927fd646-07cb-4c4e-a107-4e4d6b30ba1b_Enabled">
    <vt:lpwstr>true</vt:lpwstr>
  </property>
  <property fmtid="{D5CDD505-2E9C-101B-9397-08002B2CF9AE}" pid="24" name="MSIP_Label_927fd646-07cb-4c4e-a107-4e4d6b30ba1b_SetDate">
    <vt:lpwstr>2021-09-09T12:56:13Z</vt:lpwstr>
  </property>
  <property fmtid="{D5CDD505-2E9C-101B-9397-08002B2CF9AE}" pid="25" name="MSIP_Label_927fd646-07cb-4c4e-a107-4e4d6b30ba1b_Method">
    <vt:lpwstr>Standard</vt:lpwstr>
  </property>
  <property fmtid="{D5CDD505-2E9C-101B-9397-08002B2CF9AE}" pid="26" name="MSIP_Label_927fd646-07cb-4c4e-a107-4e4d6b30ba1b_Name">
    <vt:lpwstr>927fd646-07cb-4c4e-a107-4e4d6b30ba1b</vt:lpwstr>
  </property>
  <property fmtid="{D5CDD505-2E9C-101B-9397-08002B2CF9AE}" pid="27" name="MSIP_Label_927fd646-07cb-4c4e-a107-4e4d6b30ba1b_SiteId">
    <vt:lpwstr>a00de4ec-48a8-43a6-be74-e31274e2060d</vt:lpwstr>
  </property>
  <property fmtid="{D5CDD505-2E9C-101B-9397-08002B2CF9AE}" pid="28" name="MSIP_Label_927fd646-07cb-4c4e-a107-4e4d6b30ba1b_ActionId">
    <vt:lpwstr>5b9f04e1-4572-41a2-b858-51cc59dfa081</vt:lpwstr>
  </property>
  <property fmtid="{D5CDD505-2E9C-101B-9397-08002B2CF9AE}" pid="29" name="MSIP_Label_927fd646-07cb-4c4e-a107-4e4d6b30ba1b_ContentBits">
    <vt:lpwstr>1</vt:lpwstr>
  </property>
  <property fmtid="{D5CDD505-2E9C-101B-9397-08002B2CF9AE}" pid="30" name="MediaServiceImageTags">
    <vt:lpwstr/>
  </property>
  <property fmtid="{D5CDD505-2E9C-101B-9397-08002B2CF9AE}" pid="31" name="docLang">
    <vt:lpwstr>en</vt:lpwstr>
  </property>
</Properties>
</file>